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159374B0"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F46D37">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F46D37">
        <w:rPr>
          <w:rFonts w:ascii="Arial" w:hAnsi="Arial" w:cs="Arial"/>
          <w:b/>
          <w:sz w:val="24"/>
          <w:szCs w:val="24"/>
          <w:lang w:eastAsia="zh-CN"/>
        </w:rPr>
        <w:t>10</w:t>
      </w:r>
      <w:r w:rsidR="00A0291D">
        <w:rPr>
          <w:rFonts w:ascii="Arial" w:hAnsi="Arial" w:cs="Arial"/>
          <w:b/>
          <w:sz w:val="24"/>
          <w:szCs w:val="24"/>
          <w:lang w:eastAsia="zh-CN"/>
        </w:rPr>
        <w:t>2017</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F46D37">
        <w:rPr>
          <w:rFonts w:ascii="Arial" w:hAnsi="Arial" w:cs="Arial"/>
          <w:b/>
          <w:sz w:val="24"/>
          <w:szCs w:val="24"/>
          <w:lang w:eastAsia="zh-CN"/>
        </w:rPr>
        <w:t>Jan</w:t>
      </w:r>
      <w:r>
        <w:rPr>
          <w:rFonts w:ascii="Arial" w:hAnsi="Arial" w:cs="Arial"/>
          <w:b/>
          <w:sz w:val="24"/>
          <w:szCs w:val="24"/>
          <w:lang w:eastAsia="zh-CN"/>
        </w:rPr>
        <w:t xml:space="preserve"> </w:t>
      </w:r>
      <w:r w:rsidR="00985912">
        <w:rPr>
          <w:rFonts w:ascii="Arial" w:hAnsi="Arial" w:cs="Arial"/>
          <w:b/>
          <w:sz w:val="24"/>
          <w:szCs w:val="24"/>
          <w:lang w:eastAsia="zh-CN"/>
        </w:rPr>
        <w:t>2</w:t>
      </w:r>
      <w:r w:rsidR="00F46D37">
        <w:rPr>
          <w:rFonts w:ascii="Arial" w:hAnsi="Arial" w:cs="Arial"/>
          <w:b/>
          <w:sz w:val="24"/>
          <w:szCs w:val="24"/>
          <w:lang w:eastAsia="zh-CN"/>
        </w:rPr>
        <w:t>5</w:t>
      </w:r>
      <w:r w:rsidR="00F46D37" w:rsidRPr="00F46D37">
        <w:rPr>
          <w:rFonts w:ascii="Arial" w:hAnsi="Arial" w:cs="Arial"/>
          <w:b/>
          <w:sz w:val="24"/>
          <w:szCs w:val="24"/>
          <w:vertAlign w:val="superscript"/>
          <w:lang w:eastAsia="zh-CN"/>
        </w:rPr>
        <w:t>th</w:t>
      </w:r>
      <w:r w:rsidR="00F46D37">
        <w:rPr>
          <w:rFonts w:ascii="Arial" w:hAnsi="Arial" w:cs="Arial"/>
          <w:b/>
          <w:sz w:val="24"/>
          <w:szCs w:val="24"/>
          <w:lang w:eastAsia="zh-CN"/>
        </w:rPr>
        <w:t xml:space="preserve"> </w:t>
      </w:r>
      <w:r>
        <w:rPr>
          <w:rFonts w:ascii="Arial" w:hAnsi="Arial" w:cs="Arial"/>
          <w:b/>
          <w:sz w:val="24"/>
          <w:szCs w:val="24"/>
          <w:lang w:eastAsia="zh-CN"/>
        </w:rPr>
        <w:t>-</w:t>
      </w:r>
      <w:r w:rsidR="00985912">
        <w:rPr>
          <w:rFonts w:ascii="Arial" w:hAnsi="Arial" w:cs="Arial"/>
          <w:b/>
          <w:sz w:val="24"/>
          <w:szCs w:val="24"/>
          <w:lang w:eastAsia="zh-CN"/>
        </w:rPr>
        <w:t xml:space="preserve"> </w:t>
      </w:r>
      <w:r w:rsidR="00F46D37">
        <w:rPr>
          <w:rFonts w:ascii="Arial" w:hAnsi="Arial" w:cs="Arial"/>
          <w:b/>
          <w:sz w:val="24"/>
          <w:szCs w:val="24"/>
          <w:lang w:eastAsia="zh-CN"/>
        </w:rPr>
        <w:t>Feb 5</w:t>
      </w:r>
      <w:r w:rsidR="00F46D37" w:rsidRPr="00F46D37">
        <w:rPr>
          <w:rFonts w:ascii="Arial" w:hAnsi="Arial" w:cs="Arial"/>
          <w:b/>
          <w:sz w:val="24"/>
          <w:szCs w:val="24"/>
          <w:vertAlign w:val="superscript"/>
          <w:lang w:eastAsia="zh-CN"/>
        </w:rPr>
        <w:t>th</w:t>
      </w:r>
      <w:r>
        <w:rPr>
          <w:rFonts w:ascii="Arial" w:hAnsi="Arial" w:cs="Arial"/>
          <w:b/>
          <w:sz w:val="24"/>
          <w:szCs w:val="24"/>
          <w:lang w:eastAsia="zh-CN"/>
        </w:rPr>
        <w:t>, 202</w:t>
      </w:r>
      <w:r w:rsidR="00F83D30">
        <w:rPr>
          <w:rFonts w:ascii="Arial" w:hAnsi="Arial" w:cs="Arial"/>
          <w:b/>
          <w:sz w:val="24"/>
          <w:szCs w:val="24"/>
          <w:lang w:eastAsia="zh-CN"/>
        </w:rPr>
        <w:t>1</w:t>
      </w:r>
    </w:p>
    <w:p w14:paraId="798321A4" w14:textId="6EF2E097" w:rsidR="00656EE7" w:rsidRDefault="00656EE7">
      <w:pPr>
        <w:spacing w:after="120"/>
        <w:ind w:left="1985" w:hanging="1985"/>
        <w:rPr>
          <w:rFonts w:ascii="Arial" w:eastAsia="MS Mincho" w:hAnsi="Arial" w:cs="Arial"/>
          <w:b/>
          <w:sz w:val="22"/>
        </w:rPr>
      </w:pPr>
    </w:p>
    <w:p w14:paraId="36AE7F06" w14:textId="27F0B204"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B190D">
        <w:rPr>
          <w:rFonts w:ascii="Arial" w:eastAsia="MS Mincho" w:hAnsi="Arial" w:cs="Arial"/>
          <w:bCs/>
          <w:color w:val="000000"/>
          <w:sz w:val="22"/>
          <w:lang w:val="pt-BR" w:eastAsia="ja-JP"/>
        </w:rPr>
        <w:t>7.4.3.</w:t>
      </w:r>
      <w:r w:rsidR="003354D3">
        <w:rPr>
          <w:rFonts w:ascii="Arial" w:eastAsia="MS Mincho" w:hAnsi="Arial" w:cs="Arial"/>
          <w:bCs/>
          <w:color w:val="000000"/>
          <w:sz w:val="22"/>
          <w:lang w:val="pt-BR" w:eastAsia="ja-JP"/>
        </w:rPr>
        <w:t>3</w:t>
      </w:r>
      <w:r w:rsidR="00CB190D">
        <w:rPr>
          <w:rFonts w:ascii="Arial" w:eastAsia="MS Mincho" w:hAnsi="Arial" w:cs="Arial"/>
          <w:bCs/>
          <w:color w:val="000000"/>
          <w:sz w:val="22"/>
          <w:lang w:val="pt-BR" w:eastAsia="ja-JP"/>
        </w:rPr>
        <w:t>.</w:t>
      </w:r>
      <w:r w:rsidR="0039604A">
        <w:rPr>
          <w:rFonts w:ascii="Arial" w:eastAsia="MS Mincho" w:hAnsi="Arial" w:cs="Arial"/>
          <w:bCs/>
          <w:color w:val="000000"/>
          <w:sz w:val="22"/>
          <w:lang w:val="pt-BR" w:eastAsia="ja-JP"/>
        </w:rPr>
        <w:t>2</w:t>
      </w:r>
    </w:p>
    <w:p w14:paraId="5F4BD920" w14:textId="0F8007BC"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10653C11"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F43B39">
        <w:rPr>
          <w:rFonts w:ascii="Arial" w:hAnsi="Arial" w:cs="Arial"/>
          <w:color w:val="000000"/>
          <w:sz w:val="22"/>
          <w:lang w:eastAsia="zh-CN"/>
        </w:rPr>
        <w:t>Receiver RF testing considerations</w:t>
      </w:r>
    </w:p>
    <w:p w14:paraId="4C70E33B" w14:textId="38BBB50F"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2B5C0832" w:rsidR="00656EE7" w:rsidRDefault="00344713" w:rsidP="00065A7B">
      <w:pPr>
        <w:pStyle w:val="Heading1"/>
        <w:rPr>
          <w:lang w:eastAsia="zh-CN"/>
        </w:rPr>
      </w:pPr>
      <w:r>
        <w:rPr>
          <w:rFonts w:hint="eastAsia"/>
          <w:lang w:eastAsia="ja-JP"/>
        </w:rPr>
        <w:t>Introduction</w:t>
      </w:r>
    </w:p>
    <w:p w14:paraId="3659D095" w14:textId="6299C7E6" w:rsidR="00656EE7" w:rsidRDefault="00316348">
      <w:pPr>
        <w:pStyle w:val="BodyText"/>
        <w:rPr>
          <w:lang w:eastAsia="zh-CN"/>
        </w:rPr>
      </w:pPr>
      <w:r>
        <w:rPr>
          <w:lang w:eastAsia="zh-CN"/>
        </w:rPr>
        <w:t xml:space="preserve">RAN4 completed the core part of Integrated Access and Backhaul work in RAN4#96e and performance part </w:t>
      </w:r>
      <w:r w:rsidR="00F46D37">
        <w:rPr>
          <w:lang w:eastAsia="zh-CN"/>
        </w:rPr>
        <w:t xml:space="preserve">was started in RAN4#97e. </w:t>
      </w:r>
      <w:r>
        <w:rPr>
          <w:lang w:eastAsia="zh-CN"/>
        </w:rPr>
        <w:t xml:space="preserve">In this contribution </w:t>
      </w:r>
      <w:r w:rsidR="00912DEE">
        <w:rPr>
          <w:lang w:eastAsia="zh-CN"/>
        </w:rPr>
        <w:t>receiver RF testing</w:t>
      </w:r>
      <w:r w:rsidR="00F46D37">
        <w:rPr>
          <w:lang w:eastAsia="zh-CN"/>
        </w:rPr>
        <w:t xml:space="preserve"> </w:t>
      </w:r>
      <w:r w:rsidR="00851E7B">
        <w:rPr>
          <w:lang w:eastAsia="zh-CN"/>
        </w:rPr>
        <w:t>for IAB-Nodes is</w:t>
      </w:r>
      <w:r w:rsidR="00F46D37">
        <w:rPr>
          <w:lang w:eastAsia="zh-CN"/>
        </w:rPr>
        <w:t xml:space="preserve"> discussed</w:t>
      </w:r>
      <w:r>
        <w:rPr>
          <w:lang w:eastAsia="zh-CN"/>
        </w:rPr>
        <w:t>.</w:t>
      </w:r>
    </w:p>
    <w:p w14:paraId="27A7A54E" w14:textId="0BBB521D" w:rsidR="007B1131" w:rsidRDefault="00F84D8E" w:rsidP="00F84D8E">
      <w:pPr>
        <w:pStyle w:val="Heading1"/>
        <w:rPr>
          <w:lang w:eastAsia="zh-CN"/>
        </w:rPr>
      </w:pPr>
      <w:r>
        <w:rPr>
          <w:lang w:eastAsia="zh-CN"/>
        </w:rPr>
        <w:t>Discussion</w:t>
      </w:r>
    </w:p>
    <w:p w14:paraId="0D93BB9D" w14:textId="0904E61D" w:rsidR="00912DEE" w:rsidRDefault="005302DF" w:rsidP="00912DEE">
      <w:pPr>
        <w:pStyle w:val="BodyText"/>
        <w:rPr>
          <w:lang w:val="en-US" w:eastAsia="zh-CN"/>
        </w:rPr>
      </w:pPr>
      <w:r w:rsidRPr="005302DF">
        <w:rPr>
          <w:noProof/>
          <w:lang w:val="en-US" w:eastAsia="zh-CN"/>
        </w:rPr>
        <mc:AlternateContent>
          <mc:Choice Requires="wps">
            <w:drawing>
              <wp:anchor distT="45720" distB="45720" distL="114300" distR="114300" simplePos="0" relativeHeight="251659264" behindDoc="0" locked="0" layoutInCell="1" allowOverlap="1" wp14:anchorId="67AD65BA" wp14:editId="72F3B99A">
                <wp:simplePos x="0" y="0"/>
                <wp:positionH relativeFrom="column">
                  <wp:posOffset>10795</wp:posOffset>
                </wp:positionH>
                <wp:positionV relativeFrom="paragraph">
                  <wp:posOffset>332105</wp:posOffset>
                </wp:positionV>
                <wp:extent cx="6144895" cy="3431540"/>
                <wp:effectExtent l="0" t="0" r="2730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895" cy="3431540"/>
                        </a:xfrm>
                        <a:prstGeom prst="rect">
                          <a:avLst/>
                        </a:prstGeom>
                        <a:solidFill>
                          <a:srgbClr val="FFFFFF"/>
                        </a:solidFill>
                        <a:ln w="9525">
                          <a:solidFill>
                            <a:srgbClr val="000000"/>
                          </a:solidFill>
                          <a:miter lim="800000"/>
                          <a:headEnd/>
                          <a:tailEnd/>
                        </a:ln>
                      </wps:spPr>
                      <wps:txbx>
                        <w:txbxContent>
                          <w:p w14:paraId="134CF119" w14:textId="3FDA8CCA" w:rsidR="005302DF" w:rsidRDefault="005302DF" w:rsidP="005302DF">
                            <w:pPr>
                              <w:rPr>
                                <w:b/>
                                <w:bCs/>
                                <w:iCs/>
                                <w:color w:val="0070C0"/>
                                <w:lang w:val="en-US" w:eastAsia="zh-CN"/>
                              </w:rPr>
                            </w:pPr>
                            <w:r>
                              <w:rPr>
                                <w:b/>
                                <w:bCs/>
                                <w:iCs/>
                                <w:color w:val="0070C0"/>
                                <w:lang w:val="en-US" w:eastAsia="zh-CN"/>
                              </w:rPr>
                              <w:t>IAB-MT receiver testing:</w:t>
                            </w:r>
                          </w:p>
                          <w:p w14:paraId="09C9F6F2" w14:textId="77777777" w:rsidR="005302DF" w:rsidRDefault="005302DF" w:rsidP="005302DF">
                            <w:pPr>
                              <w:pStyle w:val="ListParagraph"/>
                              <w:numPr>
                                <w:ilvl w:val="0"/>
                                <w:numId w:val="20"/>
                              </w:numPr>
                              <w:overflowPunct/>
                              <w:autoSpaceDE/>
                              <w:autoSpaceDN/>
                              <w:adjustRightInd/>
                              <w:spacing w:after="120"/>
                              <w:ind w:firstLineChars="0"/>
                              <w:textAlignment w:val="auto"/>
                              <w:rPr>
                                <w:rFonts w:asciiTheme="minorHAnsi" w:hAnsiTheme="minorHAnsi" w:cstheme="minorHAnsi"/>
                                <w:highlight w:val="green"/>
                                <w:lang w:val="en-US" w:eastAsia="en-GB"/>
                              </w:rPr>
                            </w:pPr>
                            <w:r>
                              <w:rPr>
                                <w:rFonts w:asciiTheme="minorHAnsi" w:hAnsiTheme="minorHAnsi" w:cstheme="minorHAnsi"/>
                                <w:highlight w:val="green"/>
                                <w:lang w:eastAsia="en-GB"/>
                              </w:rPr>
                              <w:t>DL FRC configured for IAB-MT receiver testing and IAB-MT performance testing FRC definition need to be aligned.</w:t>
                            </w:r>
                          </w:p>
                          <w:p w14:paraId="2413517F" w14:textId="77777777" w:rsidR="005302DF" w:rsidRDefault="005302DF" w:rsidP="005302DF">
                            <w:pPr>
                              <w:rPr>
                                <w:iCs/>
                                <w:color w:val="0070C0"/>
                                <w:lang w:val="en-US" w:eastAsia="zh-CN"/>
                              </w:rPr>
                            </w:pPr>
                            <w:r>
                              <w:rPr>
                                <w:iCs/>
                                <w:color w:val="0070C0"/>
                                <w:lang w:val="en-US" w:eastAsia="zh-CN"/>
                              </w:rPr>
                              <w:t>Additionally, the linkage to with demodulation testing was discussed and following agreement was reached:</w:t>
                            </w:r>
                          </w:p>
                          <w:p w14:paraId="142A35BA" w14:textId="77777777" w:rsidR="005302DF" w:rsidRDefault="005302DF" w:rsidP="005302DF">
                            <w:pPr>
                              <w:rPr>
                                <w:rFonts w:asciiTheme="minorHAnsi" w:hAnsiTheme="minorHAnsi" w:cstheme="minorHAnsi"/>
                                <w:szCs w:val="24"/>
                                <w:lang w:eastAsia="zh-CN"/>
                              </w:rPr>
                            </w:pPr>
                            <w:r>
                              <w:rPr>
                                <w:rFonts w:asciiTheme="minorHAnsi" w:hAnsiTheme="minorHAnsi" w:cstheme="minorHAnsi"/>
                                <w:szCs w:val="24"/>
                                <w:highlight w:val="green"/>
                                <w:lang w:eastAsia="zh-CN"/>
                              </w:rPr>
                              <w:t>Co-ordinate the decisions on IAB demod and IAB RF testing to the extent necessary to ensure that the approach to testing is consistent</w:t>
                            </w:r>
                          </w:p>
                          <w:p w14:paraId="325BEA13" w14:textId="77777777" w:rsidR="005302DF" w:rsidRDefault="005302DF" w:rsidP="005302DF">
                            <w:pPr>
                              <w:rPr>
                                <w:lang w:val="en-US"/>
                              </w:rPr>
                            </w:pPr>
                            <w:r>
                              <w:rPr>
                                <w:lang w:val="en-US"/>
                              </w:rPr>
                              <w:t>The difference between the UE RMC and BS FRC is the TDD pattern. BS FRC does not specify the specific TDD pattern. The FRC used for RF testing should be aligned with performance testing FRC definition principle.</w:t>
                            </w:r>
                          </w:p>
                          <w:p w14:paraId="0B2FBC03" w14:textId="77777777" w:rsidR="005302DF" w:rsidRPr="00521CD0" w:rsidRDefault="005302DF" w:rsidP="005302DF">
                            <w:pPr>
                              <w:rPr>
                                <w:b/>
                                <w:bCs/>
                                <w:lang w:eastAsia="zh-CN"/>
                              </w:rPr>
                            </w:pPr>
                            <w:r w:rsidRPr="003D4CF3">
                              <w:rPr>
                                <w:b/>
                                <w:bCs/>
                                <w:strike/>
                                <w:highlight w:val="green"/>
                              </w:rPr>
                              <w:t>Tentative</w:t>
                            </w:r>
                            <w:r w:rsidRPr="003D4CF3">
                              <w:rPr>
                                <w:b/>
                                <w:bCs/>
                                <w:strike/>
                                <w:highlight w:val="green"/>
                                <w:lang w:val="en-US"/>
                              </w:rPr>
                              <w:t xml:space="preserve"> </w:t>
                            </w:r>
                            <w:r w:rsidRPr="000224F5">
                              <w:rPr>
                                <w:b/>
                                <w:bCs/>
                                <w:highlight w:val="green"/>
                                <w:lang w:val="en-US"/>
                              </w:rPr>
                              <w:t xml:space="preserve">WF: </w:t>
                            </w:r>
                            <w:r w:rsidRPr="000224F5">
                              <w:rPr>
                                <w:rFonts w:hint="eastAsia"/>
                                <w:highlight w:val="green"/>
                                <w:lang w:val="en-US" w:eastAsia="zh-CN"/>
                              </w:rPr>
                              <w:t xml:space="preserve">FFS whether BS </w:t>
                            </w:r>
                            <w:r w:rsidRPr="000224F5">
                              <w:rPr>
                                <w:highlight w:val="green"/>
                                <w:lang w:val="en-US" w:eastAsia="zh-CN"/>
                              </w:rPr>
                              <w:t>approach</w:t>
                            </w:r>
                            <w:r>
                              <w:rPr>
                                <w:highlight w:val="green"/>
                                <w:lang w:val="en-US" w:eastAsia="zh-CN"/>
                              </w:rPr>
                              <w:t xml:space="preserve"> </w:t>
                            </w:r>
                            <w:r w:rsidRPr="000224F5">
                              <w:rPr>
                                <w:highlight w:val="green"/>
                                <w:lang w:val="en-US" w:eastAsia="zh-CN"/>
                              </w:rPr>
                              <w:t>can</w:t>
                            </w:r>
                            <w:r w:rsidRPr="000224F5">
                              <w:rPr>
                                <w:rFonts w:hint="eastAsia"/>
                                <w:highlight w:val="green"/>
                                <w:lang w:val="en-US" w:eastAsia="zh-CN"/>
                              </w:rPr>
                              <w:t xml:space="preserve"> be applied or not</w:t>
                            </w:r>
                            <w:r>
                              <w:rPr>
                                <w:rFonts w:hint="eastAsia"/>
                                <w:lang w:val="en-US" w:eastAsia="zh-CN"/>
                              </w:rPr>
                              <w:t xml:space="preserve"> </w:t>
                            </w:r>
                          </w:p>
                          <w:p w14:paraId="414C8227" w14:textId="77777777" w:rsidR="005302DF" w:rsidRDefault="005302DF" w:rsidP="005302DF">
                            <w:pPr>
                              <w:rPr>
                                <w:lang w:eastAsia="zh-CN"/>
                              </w:rPr>
                            </w:pPr>
                            <w:r w:rsidRPr="000224F5">
                              <w:rPr>
                                <w:rFonts w:hint="eastAsia"/>
                                <w:highlight w:val="yellow"/>
                                <w:lang w:eastAsia="zh-CN"/>
                              </w:rPr>
                              <w:t xml:space="preserve">BS approach: Include TDD pattern </w:t>
                            </w:r>
                            <w:r>
                              <w:rPr>
                                <w:rFonts w:hint="eastAsia"/>
                                <w:highlight w:val="yellow"/>
                                <w:lang w:eastAsia="zh-CN"/>
                              </w:rPr>
                              <w:t>in the</w:t>
                            </w:r>
                            <w:r w:rsidRPr="000224F5">
                              <w:rPr>
                                <w:rFonts w:hint="eastAsia"/>
                                <w:highlight w:val="yellow"/>
                                <w:lang w:eastAsia="zh-CN"/>
                              </w:rPr>
                              <w:t xml:space="preserve"> </w:t>
                            </w:r>
                            <w:r>
                              <w:rPr>
                                <w:highlight w:val="yellow"/>
                                <w:lang w:eastAsia="zh-CN"/>
                              </w:rPr>
                              <w:t>conformance</w:t>
                            </w:r>
                            <w:r>
                              <w:rPr>
                                <w:rFonts w:hint="eastAsia"/>
                                <w:highlight w:val="yellow"/>
                                <w:lang w:eastAsia="zh-CN"/>
                              </w:rPr>
                              <w:t xml:space="preserve"> </w:t>
                            </w:r>
                            <w:r w:rsidRPr="000224F5">
                              <w:rPr>
                                <w:rFonts w:hint="eastAsia"/>
                                <w:highlight w:val="yellow"/>
                                <w:lang w:eastAsia="zh-CN"/>
                              </w:rPr>
                              <w:t xml:space="preserve">spec, and Rx FRC </w:t>
                            </w:r>
                            <w:r w:rsidRPr="000224F5">
                              <w:rPr>
                                <w:highlight w:val="yellow"/>
                                <w:lang w:eastAsia="zh-CN"/>
                              </w:rPr>
                              <w:t>definition</w:t>
                            </w:r>
                            <w:r w:rsidRPr="000224F5">
                              <w:rPr>
                                <w:rFonts w:hint="eastAsia"/>
                                <w:highlight w:val="yellow"/>
                                <w:lang w:eastAsia="zh-CN"/>
                              </w:rPr>
                              <w:t xml:space="preserve"> is per slot basis </w:t>
                            </w:r>
                            <w:r w:rsidRPr="000224F5">
                              <w:rPr>
                                <w:highlight w:val="yellow"/>
                                <w:lang w:eastAsia="zh-CN"/>
                              </w:rPr>
                              <w:t>without</w:t>
                            </w:r>
                            <w:r w:rsidRPr="000224F5">
                              <w:rPr>
                                <w:rFonts w:hint="eastAsia"/>
                                <w:highlight w:val="yellow"/>
                                <w:lang w:eastAsia="zh-CN"/>
                              </w:rPr>
                              <w:t xml:space="preserve"> scheduling on special slots, meanwhile during test, the applied TDD pattern for testing is BS declaration basis and the requirements agnostic to  TDD pattern</w:t>
                            </w:r>
                            <w:r>
                              <w:rPr>
                                <w:rFonts w:hint="eastAsia"/>
                                <w:highlight w:val="yellow"/>
                                <w:lang w:eastAsia="zh-CN"/>
                              </w:rPr>
                              <w:t xml:space="preserve"> and Duplex modes</w:t>
                            </w:r>
                            <w:r w:rsidRPr="000224F5">
                              <w:rPr>
                                <w:rFonts w:hint="eastAsia"/>
                                <w:highlight w:val="yellow"/>
                                <w:lang w:eastAsia="zh-CN"/>
                              </w:rPr>
                              <w:t xml:space="preserve">  (For information)</w:t>
                            </w:r>
                          </w:p>
                          <w:p w14:paraId="2F29DB73" w14:textId="77777777" w:rsidR="005302DF" w:rsidRPr="000224F5" w:rsidRDefault="005302DF" w:rsidP="005302DF">
                            <w:pPr>
                              <w:rPr>
                                <w:highlight w:val="yellow"/>
                                <w:lang w:eastAsia="zh-CN"/>
                              </w:rPr>
                            </w:pPr>
                            <w:r w:rsidRPr="000224F5">
                              <w:rPr>
                                <w:rFonts w:hint="eastAsia"/>
                                <w:highlight w:val="yellow"/>
                                <w:lang w:eastAsia="zh-CN"/>
                              </w:rPr>
                              <w:t xml:space="preserve">UE </w:t>
                            </w:r>
                            <w:r w:rsidRPr="000224F5">
                              <w:rPr>
                                <w:highlight w:val="yellow"/>
                                <w:lang w:eastAsia="zh-CN"/>
                              </w:rPr>
                              <w:t>approach</w:t>
                            </w:r>
                            <w:r w:rsidRPr="000224F5">
                              <w:rPr>
                                <w:rFonts w:hint="eastAsia"/>
                                <w:highlight w:val="yellow"/>
                                <w:lang w:eastAsia="zh-CN"/>
                              </w:rPr>
                              <w:t xml:space="preserve">: </w:t>
                            </w:r>
                            <w:r>
                              <w:rPr>
                                <w:rFonts w:hint="eastAsia"/>
                                <w:highlight w:val="yellow"/>
                                <w:lang w:eastAsia="zh-CN"/>
                              </w:rPr>
                              <w:t>Include</w:t>
                            </w:r>
                            <w:r w:rsidRPr="000224F5">
                              <w:rPr>
                                <w:rFonts w:hint="eastAsia"/>
                                <w:highlight w:val="yellow"/>
                                <w:lang w:eastAsia="zh-CN"/>
                              </w:rPr>
                              <w:t xml:space="preserve"> </w:t>
                            </w:r>
                            <w:r>
                              <w:rPr>
                                <w:rFonts w:hint="eastAsia"/>
                                <w:highlight w:val="yellow"/>
                                <w:lang w:eastAsia="zh-CN"/>
                              </w:rPr>
                              <w:t>TDD</w:t>
                            </w:r>
                            <w:r w:rsidRPr="000224F5">
                              <w:rPr>
                                <w:rFonts w:hint="eastAsia"/>
                                <w:highlight w:val="yellow"/>
                                <w:lang w:eastAsia="zh-CN"/>
                              </w:rPr>
                              <w:t xml:space="preserve"> </w:t>
                            </w:r>
                            <w:r>
                              <w:rPr>
                                <w:rFonts w:hint="eastAsia"/>
                                <w:highlight w:val="yellow"/>
                                <w:lang w:eastAsia="zh-CN"/>
                              </w:rPr>
                              <w:t>pattern</w:t>
                            </w:r>
                            <w:r w:rsidRPr="000224F5">
                              <w:rPr>
                                <w:rFonts w:hint="eastAsia"/>
                                <w:highlight w:val="yellow"/>
                                <w:lang w:eastAsia="zh-CN"/>
                              </w:rPr>
                              <w:t xml:space="preserve"> </w:t>
                            </w:r>
                            <w:r>
                              <w:rPr>
                                <w:rFonts w:hint="eastAsia"/>
                                <w:highlight w:val="yellow"/>
                                <w:lang w:eastAsia="zh-CN"/>
                              </w:rPr>
                              <w:t>with</w:t>
                            </w:r>
                            <w:r w:rsidRPr="000224F5">
                              <w:rPr>
                                <w:rFonts w:hint="eastAsia"/>
                                <w:highlight w:val="yellow"/>
                                <w:lang w:eastAsia="zh-CN"/>
                              </w:rPr>
                              <w:t xml:space="preserve"> </w:t>
                            </w:r>
                            <w:r>
                              <w:rPr>
                                <w:rFonts w:hint="eastAsia"/>
                                <w:highlight w:val="yellow"/>
                                <w:lang w:eastAsia="zh-CN"/>
                              </w:rPr>
                              <w:t>special</w:t>
                            </w:r>
                            <w:r w:rsidRPr="000224F5">
                              <w:rPr>
                                <w:rFonts w:hint="eastAsia"/>
                                <w:highlight w:val="yellow"/>
                                <w:lang w:eastAsia="zh-CN"/>
                              </w:rPr>
                              <w:t xml:space="preserve"> </w:t>
                            </w:r>
                            <w:r>
                              <w:rPr>
                                <w:rFonts w:hint="eastAsia"/>
                                <w:highlight w:val="yellow"/>
                                <w:lang w:eastAsia="zh-CN"/>
                              </w:rPr>
                              <w:t>slot</w:t>
                            </w:r>
                            <w:r w:rsidRPr="000224F5">
                              <w:rPr>
                                <w:rFonts w:hint="eastAsia"/>
                                <w:highlight w:val="yellow"/>
                                <w:lang w:eastAsia="zh-CN"/>
                              </w:rPr>
                              <w:t xml:space="preserve"> </w:t>
                            </w:r>
                            <w:r>
                              <w:rPr>
                                <w:rFonts w:hint="eastAsia"/>
                                <w:highlight w:val="yellow"/>
                                <w:lang w:eastAsia="zh-CN"/>
                              </w:rPr>
                              <w:t>scheduling</w:t>
                            </w:r>
                            <w:r w:rsidRPr="000224F5">
                              <w:rPr>
                                <w:rFonts w:hint="eastAsia"/>
                                <w:highlight w:val="yellow"/>
                                <w:lang w:eastAsia="zh-CN"/>
                              </w:rPr>
                              <w:t xml:space="preserve"> </w:t>
                            </w:r>
                            <w:r>
                              <w:rPr>
                                <w:rFonts w:hint="eastAsia"/>
                                <w:highlight w:val="yellow"/>
                                <w:lang w:eastAsia="zh-CN"/>
                              </w:rPr>
                              <w:t>into</w:t>
                            </w:r>
                            <w:r w:rsidRPr="000224F5">
                              <w:rPr>
                                <w:rFonts w:hint="eastAsia"/>
                                <w:highlight w:val="yellow"/>
                                <w:lang w:eastAsia="zh-CN"/>
                              </w:rPr>
                              <w:t xml:space="preserve"> </w:t>
                            </w:r>
                            <w:r>
                              <w:rPr>
                                <w:rFonts w:hint="eastAsia"/>
                                <w:highlight w:val="yellow"/>
                                <w:lang w:eastAsia="zh-CN"/>
                              </w:rPr>
                              <w:t>Rx</w:t>
                            </w:r>
                            <w:r w:rsidRPr="000224F5">
                              <w:rPr>
                                <w:rFonts w:hint="eastAsia"/>
                                <w:highlight w:val="yellow"/>
                                <w:lang w:eastAsia="zh-CN"/>
                              </w:rPr>
                              <w:t xml:space="preserve"> </w:t>
                            </w:r>
                            <w:r>
                              <w:rPr>
                                <w:rFonts w:hint="eastAsia"/>
                                <w:highlight w:val="yellow"/>
                                <w:lang w:eastAsia="zh-CN"/>
                              </w:rPr>
                              <w:t>RMC</w:t>
                            </w:r>
                            <w:r w:rsidRPr="000224F5">
                              <w:rPr>
                                <w:rFonts w:hint="eastAsia"/>
                                <w:highlight w:val="yellow"/>
                                <w:lang w:eastAsia="zh-CN"/>
                              </w:rPr>
                              <w:t>, the receiver requirements</w:t>
                            </w:r>
                            <w:r>
                              <w:rPr>
                                <w:rFonts w:hint="eastAsia"/>
                                <w:highlight w:val="yellow"/>
                                <w:lang w:eastAsia="zh-CN"/>
                              </w:rPr>
                              <w:t xml:space="preserve">/conformance </w:t>
                            </w:r>
                            <w:r>
                              <w:rPr>
                                <w:highlight w:val="yellow"/>
                                <w:lang w:eastAsia="zh-CN"/>
                              </w:rPr>
                              <w:t xml:space="preserve">testing </w:t>
                            </w:r>
                            <w:r w:rsidRPr="000224F5">
                              <w:rPr>
                                <w:highlight w:val="yellow"/>
                                <w:lang w:eastAsia="zh-CN"/>
                              </w:rPr>
                              <w:t>are</w:t>
                            </w:r>
                            <w:r w:rsidRPr="000224F5">
                              <w:rPr>
                                <w:rFonts w:hint="eastAsia"/>
                                <w:highlight w:val="yellow"/>
                                <w:lang w:eastAsia="zh-CN"/>
                              </w:rPr>
                              <w:t xml:space="preserve"> specified based on the configured TDD pattern.</w:t>
                            </w:r>
                            <w:r>
                              <w:rPr>
                                <w:rFonts w:hint="eastAsia"/>
                                <w:highlight w:val="yellow"/>
                                <w:lang w:eastAsia="zh-CN"/>
                              </w:rPr>
                              <w:t xml:space="preserve"> (For information)</w:t>
                            </w:r>
                          </w:p>
                          <w:p w14:paraId="1597C704" w14:textId="274FEA41" w:rsidR="005302DF" w:rsidRDefault="005302D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AD65BA" id="_x0000_t202" coordsize="21600,21600" o:spt="202" path="m,l,21600r21600,l21600,xe">
                <v:stroke joinstyle="miter"/>
                <v:path gradientshapeok="t" o:connecttype="rect"/>
              </v:shapetype>
              <v:shape id="Text Box 2" o:spid="_x0000_s1026" type="#_x0000_t202" style="position:absolute;margin-left:.85pt;margin-top:26.15pt;width:483.85pt;height:270.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">
                <v:textbox>
                  <w:txbxContent>
                    <w:p w14:paraId="134CF119" w14:textId="3FDA8CCA" w:rsidR="005302DF" w:rsidRDefault="005302DF" w:rsidP="005302DF">
                      <w:pPr>
                        <w:rPr>
                          <w:b/>
                          <w:bCs/>
                          <w:iCs/>
                          <w:color w:val="0070C0"/>
                          <w:lang w:val="en-US" w:eastAsia="zh-CN"/>
                        </w:rPr>
                      </w:pPr>
                      <w:r>
                        <w:rPr>
                          <w:b/>
                          <w:bCs/>
                          <w:iCs/>
                          <w:color w:val="0070C0"/>
                          <w:lang w:val="en-US" w:eastAsia="zh-CN"/>
                        </w:rPr>
                        <w:t>IAB-MT receiver testing:</w:t>
                      </w:r>
                    </w:p>
                    <w:p w14:paraId="09C9F6F2" w14:textId="77777777" w:rsidR="005302DF" w:rsidRDefault="005302DF" w:rsidP="005302DF">
                      <w:pPr>
                        <w:pStyle w:val="ListParagraph"/>
                        <w:numPr>
                          <w:ilvl w:val="0"/>
                          <w:numId w:val="20"/>
                        </w:numPr>
                        <w:overflowPunct/>
                        <w:autoSpaceDE/>
                        <w:autoSpaceDN/>
                        <w:adjustRightInd/>
                        <w:spacing w:after="120"/>
                        <w:ind w:firstLineChars="0"/>
                        <w:textAlignment w:val="auto"/>
                        <w:rPr>
                          <w:rFonts w:asciiTheme="minorHAnsi" w:hAnsiTheme="minorHAnsi" w:cstheme="minorHAnsi"/>
                          <w:highlight w:val="green"/>
                          <w:lang w:val="en-US" w:eastAsia="en-GB"/>
                        </w:rPr>
                      </w:pPr>
                      <w:r>
                        <w:rPr>
                          <w:rFonts w:asciiTheme="minorHAnsi" w:hAnsiTheme="minorHAnsi" w:cstheme="minorHAnsi"/>
                          <w:highlight w:val="green"/>
                          <w:lang w:eastAsia="en-GB"/>
                        </w:rPr>
                        <w:t>DL FRC configured for IAB-MT receiver testing and IAB-MT performance testing FRC definition need to be aligned.</w:t>
                      </w:r>
                    </w:p>
                    <w:p w14:paraId="2413517F" w14:textId="77777777" w:rsidR="005302DF" w:rsidRDefault="005302DF" w:rsidP="005302DF">
                      <w:pPr>
                        <w:rPr>
                          <w:iCs/>
                          <w:color w:val="0070C0"/>
                          <w:lang w:val="en-US" w:eastAsia="zh-CN"/>
                        </w:rPr>
                      </w:pPr>
                      <w:r>
                        <w:rPr>
                          <w:iCs/>
                          <w:color w:val="0070C0"/>
                          <w:lang w:val="en-US" w:eastAsia="zh-CN"/>
                        </w:rPr>
                        <w:t>Additionally, the linkage to with demodulation testing was discussed and following agreement was reached:</w:t>
                      </w:r>
                    </w:p>
                    <w:p w14:paraId="142A35BA" w14:textId="77777777" w:rsidR="005302DF" w:rsidRDefault="005302DF" w:rsidP="005302DF">
                      <w:pPr>
                        <w:rPr>
                          <w:rFonts w:asciiTheme="minorHAnsi" w:hAnsiTheme="minorHAnsi" w:cstheme="minorHAnsi"/>
                          <w:szCs w:val="24"/>
                          <w:lang w:eastAsia="zh-CN"/>
                        </w:rPr>
                      </w:pPr>
                      <w:r>
                        <w:rPr>
                          <w:rFonts w:asciiTheme="minorHAnsi" w:hAnsiTheme="minorHAnsi" w:cstheme="minorHAnsi"/>
                          <w:szCs w:val="24"/>
                          <w:highlight w:val="green"/>
                          <w:lang w:eastAsia="zh-CN"/>
                        </w:rPr>
                        <w:t>Co-ordinate the decisions on IAB demod and IAB RF testing to the extent necessary to ensure that the approach to testing is consistent</w:t>
                      </w:r>
                    </w:p>
                    <w:p w14:paraId="325BEA13" w14:textId="77777777" w:rsidR="005302DF" w:rsidRDefault="005302DF" w:rsidP="005302DF">
                      <w:pPr>
                        <w:rPr>
                          <w:lang w:val="en-US"/>
                        </w:rPr>
                      </w:pPr>
                      <w:r>
                        <w:rPr>
                          <w:lang w:val="en-US"/>
                        </w:rPr>
                        <w:t>The difference between the UE RMC and BS FRC is the TDD pattern. BS FRC does not specify the specific TDD pattern. The FRC used for RF testing should be aligned with performance testing FRC definition principle.</w:t>
                      </w:r>
                    </w:p>
                    <w:p w14:paraId="0B2FBC03" w14:textId="77777777" w:rsidR="005302DF" w:rsidRPr="00521CD0" w:rsidRDefault="005302DF" w:rsidP="005302DF">
                      <w:pPr>
                        <w:rPr>
                          <w:b/>
                          <w:bCs/>
                          <w:lang w:eastAsia="zh-CN"/>
                        </w:rPr>
                      </w:pPr>
                      <w:r w:rsidRPr="003D4CF3">
                        <w:rPr>
                          <w:b/>
                          <w:bCs/>
                          <w:strike/>
                          <w:highlight w:val="green"/>
                        </w:rPr>
                        <w:t>Tentative</w:t>
                      </w:r>
                      <w:r w:rsidRPr="003D4CF3">
                        <w:rPr>
                          <w:b/>
                          <w:bCs/>
                          <w:strike/>
                          <w:highlight w:val="green"/>
                          <w:lang w:val="en-US"/>
                        </w:rPr>
                        <w:t xml:space="preserve"> </w:t>
                      </w:r>
                      <w:r w:rsidRPr="000224F5">
                        <w:rPr>
                          <w:b/>
                          <w:bCs/>
                          <w:highlight w:val="green"/>
                          <w:lang w:val="en-US"/>
                        </w:rPr>
                        <w:t xml:space="preserve">WF: </w:t>
                      </w:r>
                      <w:r w:rsidRPr="000224F5">
                        <w:rPr>
                          <w:rFonts w:hint="eastAsia"/>
                          <w:highlight w:val="green"/>
                          <w:lang w:val="en-US" w:eastAsia="zh-CN"/>
                        </w:rPr>
                        <w:t xml:space="preserve">FFS whether BS </w:t>
                      </w:r>
                      <w:r w:rsidRPr="000224F5">
                        <w:rPr>
                          <w:highlight w:val="green"/>
                          <w:lang w:val="en-US" w:eastAsia="zh-CN"/>
                        </w:rPr>
                        <w:t>approach</w:t>
                      </w:r>
                      <w:r>
                        <w:rPr>
                          <w:highlight w:val="green"/>
                          <w:lang w:val="en-US" w:eastAsia="zh-CN"/>
                        </w:rPr>
                        <w:t xml:space="preserve"> </w:t>
                      </w:r>
                      <w:r w:rsidRPr="000224F5">
                        <w:rPr>
                          <w:highlight w:val="green"/>
                          <w:lang w:val="en-US" w:eastAsia="zh-CN"/>
                        </w:rPr>
                        <w:t>can</w:t>
                      </w:r>
                      <w:r w:rsidRPr="000224F5">
                        <w:rPr>
                          <w:rFonts w:hint="eastAsia"/>
                          <w:highlight w:val="green"/>
                          <w:lang w:val="en-US" w:eastAsia="zh-CN"/>
                        </w:rPr>
                        <w:t xml:space="preserve"> be applied or not</w:t>
                      </w:r>
                      <w:r>
                        <w:rPr>
                          <w:rFonts w:hint="eastAsia"/>
                          <w:lang w:val="en-US" w:eastAsia="zh-CN"/>
                        </w:rPr>
                        <w:t xml:space="preserve"> </w:t>
                      </w:r>
                    </w:p>
                    <w:p w14:paraId="414C8227" w14:textId="77777777" w:rsidR="005302DF" w:rsidRDefault="005302DF" w:rsidP="005302DF">
                      <w:pPr>
                        <w:rPr>
                          <w:lang w:eastAsia="zh-CN"/>
                        </w:rPr>
                      </w:pPr>
                      <w:r w:rsidRPr="000224F5">
                        <w:rPr>
                          <w:rFonts w:hint="eastAsia"/>
                          <w:highlight w:val="yellow"/>
                          <w:lang w:eastAsia="zh-CN"/>
                        </w:rPr>
                        <w:t xml:space="preserve">BS approach: Include TDD pattern </w:t>
                      </w:r>
                      <w:r>
                        <w:rPr>
                          <w:rFonts w:hint="eastAsia"/>
                          <w:highlight w:val="yellow"/>
                          <w:lang w:eastAsia="zh-CN"/>
                        </w:rPr>
                        <w:t>in the</w:t>
                      </w:r>
                      <w:r w:rsidRPr="000224F5">
                        <w:rPr>
                          <w:rFonts w:hint="eastAsia"/>
                          <w:highlight w:val="yellow"/>
                          <w:lang w:eastAsia="zh-CN"/>
                        </w:rPr>
                        <w:t xml:space="preserve"> </w:t>
                      </w:r>
                      <w:r>
                        <w:rPr>
                          <w:highlight w:val="yellow"/>
                          <w:lang w:eastAsia="zh-CN"/>
                        </w:rPr>
                        <w:t>conformance</w:t>
                      </w:r>
                      <w:r>
                        <w:rPr>
                          <w:rFonts w:hint="eastAsia"/>
                          <w:highlight w:val="yellow"/>
                          <w:lang w:eastAsia="zh-CN"/>
                        </w:rPr>
                        <w:t xml:space="preserve"> </w:t>
                      </w:r>
                      <w:r w:rsidRPr="000224F5">
                        <w:rPr>
                          <w:rFonts w:hint="eastAsia"/>
                          <w:highlight w:val="yellow"/>
                          <w:lang w:eastAsia="zh-CN"/>
                        </w:rPr>
                        <w:t xml:space="preserve">spec, and Rx FRC </w:t>
                      </w:r>
                      <w:r w:rsidRPr="000224F5">
                        <w:rPr>
                          <w:highlight w:val="yellow"/>
                          <w:lang w:eastAsia="zh-CN"/>
                        </w:rPr>
                        <w:t>definition</w:t>
                      </w:r>
                      <w:r w:rsidRPr="000224F5">
                        <w:rPr>
                          <w:rFonts w:hint="eastAsia"/>
                          <w:highlight w:val="yellow"/>
                          <w:lang w:eastAsia="zh-CN"/>
                        </w:rPr>
                        <w:t xml:space="preserve"> is per slot basis </w:t>
                      </w:r>
                      <w:r w:rsidRPr="000224F5">
                        <w:rPr>
                          <w:highlight w:val="yellow"/>
                          <w:lang w:eastAsia="zh-CN"/>
                        </w:rPr>
                        <w:t>without</w:t>
                      </w:r>
                      <w:r w:rsidRPr="000224F5">
                        <w:rPr>
                          <w:rFonts w:hint="eastAsia"/>
                          <w:highlight w:val="yellow"/>
                          <w:lang w:eastAsia="zh-CN"/>
                        </w:rPr>
                        <w:t xml:space="preserve"> scheduling on special slots, meanwhile during test, the applied TDD pattern for testing is BS declaration basis and the requirements agnostic to  TDD pattern</w:t>
                      </w:r>
                      <w:r>
                        <w:rPr>
                          <w:rFonts w:hint="eastAsia"/>
                          <w:highlight w:val="yellow"/>
                          <w:lang w:eastAsia="zh-CN"/>
                        </w:rPr>
                        <w:t xml:space="preserve"> and Duplex modes</w:t>
                      </w:r>
                      <w:r w:rsidRPr="000224F5">
                        <w:rPr>
                          <w:rFonts w:hint="eastAsia"/>
                          <w:highlight w:val="yellow"/>
                          <w:lang w:eastAsia="zh-CN"/>
                        </w:rPr>
                        <w:t xml:space="preserve">  (For information)</w:t>
                      </w:r>
                    </w:p>
                    <w:p w14:paraId="2F29DB73" w14:textId="77777777" w:rsidR="005302DF" w:rsidRPr="000224F5" w:rsidRDefault="005302DF" w:rsidP="005302DF">
                      <w:pPr>
                        <w:rPr>
                          <w:highlight w:val="yellow"/>
                          <w:lang w:eastAsia="zh-CN"/>
                        </w:rPr>
                      </w:pPr>
                      <w:r w:rsidRPr="000224F5">
                        <w:rPr>
                          <w:rFonts w:hint="eastAsia"/>
                          <w:highlight w:val="yellow"/>
                          <w:lang w:eastAsia="zh-CN"/>
                        </w:rPr>
                        <w:t xml:space="preserve">UE </w:t>
                      </w:r>
                      <w:r w:rsidRPr="000224F5">
                        <w:rPr>
                          <w:highlight w:val="yellow"/>
                          <w:lang w:eastAsia="zh-CN"/>
                        </w:rPr>
                        <w:t>approach</w:t>
                      </w:r>
                      <w:r w:rsidRPr="000224F5">
                        <w:rPr>
                          <w:rFonts w:hint="eastAsia"/>
                          <w:highlight w:val="yellow"/>
                          <w:lang w:eastAsia="zh-CN"/>
                        </w:rPr>
                        <w:t xml:space="preserve">: </w:t>
                      </w:r>
                      <w:r>
                        <w:rPr>
                          <w:rFonts w:hint="eastAsia"/>
                          <w:highlight w:val="yellow"/>
                          <w:lang w:eastAsia="zh-CN"/>
                        </w:rPr>
                        <w:t>Include</w:t>
                      </w:r>
                      <w:r w:rsidRPr="000224F5">
                        <w:rPr>
                          <w:rFonts w:hint="eastAsia"/>
                          <w:highlight w:val="yellow"/>
                          <w:lang w:eastAsia="zh-CN"/>
                        </w:rPr>
                        <w:t xml:space="preserve"> </w:t>
                      </w:r>
                      <w:r>
                        <w:rPr>
                          <w:rFonts w:hint="eastAsia"/>
                          <w:highlight w:val="yellow"/>
                          <w:lang w:eastAsia="zh-CN"/>
                        </w:rPr>
                        <w:t>TDD</w:t>
                      </w:r>
                      <w:r w:rsidRPr="000224F5">
                        <w:rPr>
                          <w:rFonts w:hint="eastAsia"/>
                          <w:highlight w:val="yellow"/>
                          <w:lang w:eastAsia="zh-CN"/>
                        </w:rPr>
                        <w:t xml:space="preserve"> </w:t>
                      </w:r>
                      <w:r>
                        <w:rPr>
                          <w:rFonts w:hint="eastAsia"/>
                          <w:highlight w:val="yellow"/>
                          <w:lang w:eastAsia="zh-CN"/>
                        </w:rPr>
                        <w:t>pattern</w:t>
                      </w:r>
                      <w:r w:rsidRPr="000224F5">
                        <w:rPr>
                          <w:rFonts w:hint="eastAsia"/>
                          <w:highlight w:val="yellow"/>
                          <w:lang w:eastAsia="zh-CN"/>
                        </w:rPr>
                        <w:t xml:space="preserve"> </w:t>
                      </w:r>
                      <w:r>
                        <w:rPr>
                          <w:rFonts w:hint="eastAsia"/>
                          <w:highlight w:val="yellow"/>
                          <w:lang w:eastAsia="zh-CN"/>
                        </w:rPr>
                        <w:t>with</w:t>
                      </w:r>
                      <w:r w:rsidRPr="000224F5">
                        <w:rPr>
                          <w:rFonts w:hint="eastAsia"/>
                          <w:highlight w:val="yellow"/>
                          <w:lang w:eastAsia="zh-CN"/>
                        </w:rPr>
                        <w:t xml:space="preserve"> </w:t>
                      </w:r>
                      <w:r>
                        <w:rPr>
                          <w:rFonts w:hint="eastAsia"/>
                          <w:highlight w:val="yellow"/>
                          <w:lang w:eastAsia="zh-CN"/>
                        </w:rPr>
                        <w:t>special</w:t>
                      </w:r>
                      <w:r w:rsidRPr="000224F5">
                        <w:rPr>
                          <w:rFonts w:hint="eastAsia"/>
                          <w:highlight w:val="yellow"/>
                          <w:lang w:eastAsia="zh-CN"/>
                        </w:rPr>
                        <w:t xml:space="preserve"> </w:t>
                      </w:r>
                      <w:r>
                        <w:rPr>
                          <w:rFonts w:hint="eastAsia"/>
                          <w:highlight w:val="yellow"/>
                          <w:lang w:eastAsia="zh-CN"/>
                        </w:rPr>
                        <w:t>slot</w:t>
                      </w:r>
                      <w:r w:rsidRPr="000224F5">
                        <w:rPr>
                          <w:rFonts w:hint="eastAsia"/>
                          <w:highlight w:val="yellow"/>
                          <w:lang w:eastAsia="zh-CN"/>
                        </w:rPr>
                        <w:t xml:space="preserve"> </w:t>
                      </w:r>
                      <w:r>
                        <w:rPr>
                          <w:rFonts w:hint="eastAsia"/>
                          <w:highlight w:val="yellow"/>
                          <w:lang w:eastAsia="zh-CN"/>
                        </w:rPr>
                        <w:t>scheduling</w:t>
                      </w:r>
                      <w:r w:rsidRPr="000224F5">
                        <w:rPr>
                          <w:rFonts w:hint="eastAsia"/>
                          <w:highlight w:val="yellow"/>
                          <w:lang w:eastAsia="zh-CN"/>
                        </w:rPr>
                        <w:t xml:space="preserve"> </w:t>
                      </w:r>
                      <w:r>
                        <w:rPr>
                          <w:rFonts w:hint="eastAsia"/>
                          <w:highlight w:val="yellow"/>
                          <w:lang w:eastAsia="zh-CN"/>
                        </w:rPr>
                        <w:t>into</w:t>
                      </w:r>
                      <w:r w:rsidRPr="000224F5">
                        <w:rPr>
                          <w:rFonts w:hint="eastAsia"/>
                          <w:highlight w:val="yellow"/>
                          <w:lang w:eastAsia="zh-CN"/>
                        </w:rPr>
                        <w:t xml:space="preserve"> </w:t>
                      </w:r>
                      <w:r>
                        <w:rPr>
                          <w:rFonts w:hint="eastAsia"/>
                          <w:highlight w:val="yellow"/>
                          <w:lang w:eastAsia="zh-CN"/>
                        </w:rPr>
                        <w:t>Rx</w:t>
                      </w:r>
                      <w:r w:rsidRPr="000224F5">
                        <w:rPr>
                          <w:rFonts w:hint="eastAsia"/>
                          <w:highlight w:val="yellow"/>
                          <w:lang w:eastAsia="zh-CN"/>
                        </w:rPr>
                        <w:t xml:space="preserve"> </w:t>
                      </w:r>
                      <w:r>
                        <w:rPr>
                          <w:rFonts w:hint="eastAsia"/>
                          <w:highlight w:val="yellow"/>
                          <w:lang w:eastAsia="zh-CN"/>
                        </w:rPr>
                        <w:t>RMC</w:t>
                      </w:r>
                      <w:r w:rsidRPr="000224F5">
                        <w:rPr>
                          <w:rFonts w:hint="eastAsia"/>
                          <w:highlight w:val="yellow"/>
                          <w:lang w:eastAsia="zh-CN"/>
                        </w:rPr>
                        <w:t>, the receiver requirements</w:t>
                      </w:r>
                      <w:r>
                        <w:rPr>
                          <w:rFonts w:hint="eastAsia"/>
                          <w:highlight w:val="yellow"/>
                          <w:lang w:eastAsia="zh-CN"/>
                        </w:rPr>
                        <w:t xml:space="preserve">/conformance </w:t>
                      </w:r>
                      <w:r>
                        <w:rPr>
                          <w:highlight w:val="yellow"/>
                          <w:lang w:eastAsia="zh-CN"/>
                        </w:rPr>
                        <w:t xml:space="preserve">testing </w:t>
                      </w:r>
                      <w:r w:rsidRPr="000224F5">
                        <w:rPr>
                          <w:highlight w:val="yellow"/>
                          <w:lang w:eastAsia="zh-CN"/>
                        </w:rPr>
                        <w:t>are</w:t>
                      </w:r>
                      <w:r w:rsidRPr="000224F5">
                        <w:rPr>
                          <w:rFonts w:hint="eastAsia"/>
                          <w:highlight w:val="yellow"/>
                          <w:lang w:eastAsia="zh-CN"/>
                        </w:rPr>
                        <w:t xml:space="preserve"> specified based on the configured TDD pattern.</w:t>
                      </w:r>
                      <w:r>
                        <w:rPr>
                          <w:rFonts w:hint="eastAsia"/>
                          <w:highlight w:val="yellow"/>
                          <w:lang w:eastAsia="zh-CN"/>
                        </w:rPr>
                        <w:t xml:space="preserve"> (For information)</w:t>
                      </w:r>
                    </w:p>
                    <w:p w14:paraId="1597C704" w14:textId="274FEA41" w:rsidR="005302DF" w:rsidRDefault="005302DF"/>
                  </w:txbxContent>
                </v:textbox>
                <w10:wrap type="square"/>
              </v:shape>
            </w:pict>
          </mc:Fallback>
        </mc:AlternateContent>
      </w:r>
      <w:r w:rsidR="00F46D37">
        <w:rPr>
          <w:lang w:val="en-US" w:eastAsia="zh-CN"/>
        </w:rPr>
        <w:t>During RAN4#97e</w:t>
      </w:r>
      <w:r w:rsidR="00C04162">
        <w:rPr>
          <w:lang w:val="en-US" w:eastAsia="zh-CN"/>
        </w:rPr>
        <w:t xml:space="preserve"> the following was captured in the agreed WF on receiver testing [1].</w:t>
      </w:r>
    </w:p>
    <w:p w14:paraId="0E6D74FB" w14:textId="77777777" w:rsidR="005302DF" w:rsidRDefault="005302DF" w:rsidP="00912DEE">
      <w:pPr>
        <w:pStyle w:val="BodyText"/>
        <w:rPr>
          <w:lang w:val="en-US"/>
        </w:rPr>
      </w:pPr>
      <w:r>
        <w:rPr>
          <w:lang w:val="en-US"/>
        </w:rPr>
        <w:t>There are two major open items regarding receiver testing.</w:t>
      </w:r>
    </w:p>
    <w:p w14:paraId="0B71D7C7" w14:textId="77777777" w:rsidR="005302DF" w:rsidRDefault="005302DF" w:rsidP="005302DF">
      <w:pPr>
        <w:pStyle w:val="BodyText"/>
        <w:numPr>
          <w:ilvl w:val="0"/>
          <w:numId w:val="21"/>
        </w:numPr>
        <w:rPr>
          <w:lang w:val="en-US"/>
        </w:rPr>
      </w:pPr>
      <w:r>
        <w:rPr>
          <w:lang w:val="en-US"/>
        </w:rPr>
        <w:t>Whether BS approach can be applied for IAB-MT</w:t>
      </w:r>
    </w:p>
    <w:p w14:paraId="0F9C560C" w14:textId="77777777" w:rsidR="005302DF" w:rsidRDefault="005302DF" w:rsidP="005302DF">
      <w:pPr>
        <w:pStyle w:val="BodyText"/>
        <w:numPr>
          <w:ilvl w:val="0"/>
          <w:numId w:val="21"/>
        </w:numPr>
        <w:rPr>
          <w:lang w:val="en-US"/>
        </w:rPr>
      </w:pPr>
      <w:r>
        <w:rPr>
          <w:lang w:val="en-US"/>
        </w:rPr>
        <w:t>How much information is captured into FRCs and what is left up to implementation</w:t>
      </w:r>
    </w:p>
    <w:p w14:paraId="7D7478C5" w14:textId="3F481724" w:rsidR="004475C8" w:rsidRDefault="005302DF" w:rsidP="004475C8">
      <w:pPr>
        <w:pStyle w:val="BodyText"/>
        <w:rPr>
          <w:lang w:val="en-US"/>
        </w:rPr>
      </w:pPr>
      <w:r>
        <w:rPr>
          <w:lang w:val="en-US"/>
        </w:rPr>
        <w:t xml:space="preserve">As discussed in previous meeting, it is beneficial to create generic test descriptions so that different test system implementations can be </w:t>
      </w:r>
      <w:r w:rsidR="004F3622">
        <w:rPr>
          <w:lang w:val="en-US"/>
        </w:rPr>
        <w:t xml:space="preserve">used. This provides flexibility for all manufacturer to use their preferred test systems, and this has been proven to work will with base station conformance tests. </w:t>
      </w:r>
      <w:r w:rsidR="004475C8">
        <w:rPr>
          <w:lang w:val="en-US"/>
        </w:rPr>
        <w:t xml:space="preserve">TDD pattern selection has negligible impact on </w:t>
      </w:r>
      <w:r w:rsidR="004475C8">
        <w:rPr>
          <w:lang w:val="en-US"/>
        </w:rPr>
        <w:lastRenderedPageBreak/>
        <w:t>throughput measurements as the considered metric is relative to the absolute maximum throughput of the configured pattern.</w:t>
      </w:r>
    </w:p>
    <w:p w14:paraId="7659807C" w14:textId="77777777" w:rsidR="004475C8" w:rsidRDefault="004F3622" w:rsidP="004F3622">
      <w:pPr>
        <w:pStyle w:val="BodyText"/>
        <w:rPr>
          <w:lang w:val="en-US"/>
        </w:rPr>
      </w:pPr>
      <w:r>
        <w:rPr>
          <w:lang w:val="en-US"/>
        </w:rPr>
        <w:t xml:space="preserve">Therefore, it is preferred to adopt the BS testing approach for IAB-MT. </w:t>
      </w:r>
      <w:r w:rsidR="005302DF">
        <w:rPr>
          <w:lang w:val="en-US"/>
        </w:rPr>
        <w:t xml:space="preserve"> </w:t>
      </w:r>
    </w:p>
    <w:p w14:paraId="70DB5DEE" w14:textId="6C7241F7" w:rsidR="004F3622" w:rsidRPr="004F3622" w:rsidRDefault="004F3622" w:rsidP="004F3622">
      <w:pPr>
        <w:pStyle w:val="BodyText"/>
        <w:rPr>
          <w:b/>
          <w:bCs/>
          <w:lang w:val="en-US"/>
        </w:rPr>
      </w:pPr>
      <w:r w:rsidRPr="004F3622">
        <w:rPr>
          <w:b/>
          <w:bCs/>
          <w:lang w:val="en-US"/>
        </w:rPr>
        <w:t>Proposal 1: Adopt the BS Rx testing approach as described in [1] for IAB-MT.</w:t>
      </w:r>
    </w:p>
    <w:p w14:paraId="0385864F" w14:textId="2430A2E2" w:rsidR="002556F8" w:rsidRDefault="0042499C" w:rsidP="00EC34B7">
      <w:pPr>
        <w:overflowPunct w:val="0"/>
        <w:autoSpaceDE w:val="0"/>
        <w:autoSpaceDN w:val="0"/>
        <w:adjustRightInd w:val="0"/>
        <w:spacing w:beforeLines="50" w:before="136" w:after="0"/>
        <w:textAlignment w:val="baseline"/>
        <w:rPr>
          <w:lang w:val="en-US"/>
        </w:rPr>
      </w:pPr>
      <w:r>
        <w:rPr>
          <w:lang w:val="en-US"/>
        </w:rPr>
        <w:t xml:space="preserve">When the details of the specification are considered, it is beneficial to capture only the information that is necessary for the testing purposes. Having too many details will lower the specification clarity and limit the flexibility in test situations. On the other hand, the specified content needs to be sufficient to perform the test. </w:t>
      </w:r>
    </w:p>
    <w:p w14:paraId="78E584C0" w14:textId="38749A8E" w:rsidR="0042499C" w:rsidRDefault="0042499C" w:rsidP="00EC34B7">
      <w:pPr>
        <w:overflowPunct w:val="0"/>
        <w:autoSpaceDE w:val="0"/>
        <w:autoSpaceDN w:val="0"/>
        <w:adjustRightInd w:val="0"/>
        <w:spacing w:beforeLines="50" w:before="136" w:after="0"/>
        <w:textAlignment w:val="baseline"/>
        <w:rPr>
          <w:lang w:val="en-US"/>
        </w:rPr>
      </w:pPr>
      <w:r>
        <w:rPr>
          <w:lang w:val="en-US"/>
        </w:rPr>
        <w:t>The purpose of the test is one of the main aspects to be considered when it is evaluated what is the necessary information. The purpose of the receiver RF tests is to verify that RF performance is at proper level. The different tests stress the receiver noise level and linearity when interfering signals are at different frequency offsets from the wanted signal. The metric that is measured is throughput, but as such then test purpose is not to verify throughput – the demodulation performance is verified in separate demodulation tests – rather throughput measurement is just a tool to confirm that the noise and linearity metrics are good enough.</w:t>
      </w:r>
    </w:p>
    <w:p w14:paraId="6C5A0F3A" w14:textId="45322C98" w:rsidR="0042499C" w:rsidRDefault="0042499C" w:rsidP="00EC34B7">
      <w:pPr>
        <w:overflowPunct w:val="0"/>
        <w:autoSpaceDE w:val="0"/>
        <w:autoSpaceDN w:val="0"/>
        <w:adjustRightInd w:val="0"/>
        <w:spacing w:beforeLines="50" w:before="136" w:after="0"/>
        <w:textAlignment w:val="baseline"/>
        <w:rPr>
          <w:b/>
          <w:bCs/>
          <w:lang w:val="en-US"/>
        </w:rPr>
      </w:pPr>
      <w:r w:rsidRPr="0042499C">
        <w:rPr>
          <w:b/>
          <w:bCs/>
          <w:lang w:val="en-US"/>
        </w:rPr>
        <w:t>Observation 1:</w:t>
      </w:r>
      <w:r>
        <w:rPr>
          <w:b/>
          <w:bCs/>
          <w:lang w:val="en-US"/>
        </w:rPr>
        <w:t xml:space="preserve"> The test purpose of the receiver test is to verify RF performance, such as noise level and linearity, whereas throughput measurements as just a tool used in the process. Demodulation performance tests are separate from RF tests.</w:t>
      </w:r>
    </w:p>
    <w:p w14:paraId="4792F182" w14:textId="77777777" w:rsidR="001418AD" w:rsidRPr="001418AD" w:rsidRDefault="001418AD" w:rsidP="001418AD">
      <w:pPr>
        <w:spacing w:after="0"/>
        <w:rPr>
          <w:lang w:val="en-US"/>
        </w:rPr>
      </w:pPr>
    </w:p>
    <w:p w14:paraId="2231C57D" w14:textId="5D0DC925" w:rsidR="001418AD" w:rsidRDefault="001418AD" w:rsidP="001418AD">
      <w:pPr>
        <w:spacing w:after="0"/>
        <w:rPr>
          <w:lang w:val="en-US"/>
        </w:rPr>
      </w:pPr>
      <w:r w:rsidRPr="001418AD">
        <w:rPr>
          <w:lang w:val="en-US"/>
        </w:rPr>
        <w:t>Time synchronization between IAB-nodes is essential for the support of TDD system</w:t>
      </w:r>
      <w:r>
        <w:rPr>
          <w:lang w:val="en-US"/>
        </w:rPr>
        <w:t>.</w:t>
      </w:r>
      <w:r w:rsidRPr="001418AD">
        <w:rPr>
          <w:lang w:val="en-US"/>
        </w:rPr>
        <w:t xml:space="preserve"> In the RAN1#98-Bis meeting summary [R1-1911467] it was agreed that</w:t>
      </w:r>
    </w:p>
    <w:p w14:paraId="74EA7EBC" w14:textId="77777777" w:rsidR="001418AD" w:rsidRPr="001418AD" w:rsidRDefault="001418AD" w:rsidP="001418AD">
      <w:pPr>
        <w:spacing w:after="0"/>
        <w:rPr>
          <w:lang w:val="en-US"/>
        </w:rPr>
      </w:pPr>
    </w:p>
    <w:tbl>
      <w:tblPr>
        <w:tblStyle w:val="TableGrid"/>
        <w:tblW w:w="0" w:type="auto"/>
        <w:jc w:val="center"/>
        <w:tblLook w:val="04A0" w:firstRow="1" w:lastRow="0" w:firstColumn="1" w:lastColumn="0" w:noHBand="0" w:noVBand="1"/>
      </w:tblPr>
      <w:tblGrid>
        <w:gridCol w:w="9071"/>
      </w:tblGrid>
      <w:tr w:rsidR="001418AD" w14:paraId="3424859C" w14:textId="77777777" w:rsidTr="00134B22">
        <w:trPr>
          <w:jc w:val="center"/>
        </w:trPr>
        <w:tc>
          <w:tcPr>
            <w:tcW w:w="9071" w:type="dxa"/>
          </w:tcPr>
          <w:p w14:paraId="6A720B33" w14:textId="77777777" w:rsidR="001418AD" w:rsidRPr="00231EB8" w:rsidRDefault="001418AD" w:rsidP="00134B22">
            <w:r w:rsidRPr="002257DD">
              <w:t>An IAB node with multiple parents treats each parent as a separate synchronization source. The IAB node can also treat RAT-independent sources such as GNSS (if used) as a separate synchronization source</w:t>
            </w:r>
            <w:r>
              <w:t>.</w:t>
            </w:r>
          </w:p>
        </w:tc>
      </w:tr>
    </w:tbl>
    <w:p w14:paraId="7F2813A1" w14:textId="3F85F63C" w:rsidR="001418AD" w:rsidRDefault="001418AD" w:rsidP="001418AD">
      <w:pPr>
        <w:spacing w:after="0"/>
      </w:pPr>
    </w:p>
    <w:p w14:paraId="11442142" w14:textId="7137F74C" w:rsidR="001418AD" w:rsidRDefault="001418AD" w:rsidP="001418AD">
      <w:r>
        <w:t>This agreement relates to how sync</w:t>
      </w:r>
      <w:r w:rsidR="007C5567">
        <w:t>hronization is arranged in the test situation. It is clear from the RAN1 agreement that using SSBs for synchronization is not mandatory, as synchronization can be obtained also by GNSS. Overall, it is also not part of the test purpose to test SSB reception. Additionally, in base station conformance testing synchronization between test equipment and DUT can be arranged via an offline cable interface, and similar arrangement should be allowed also for IAB-MT</w:t>
      </w:r>
    </w:p>
    <w:p w14:paraId="27DD3620" w14:textId="66D653C6" w:rsidR="004475C8" w:rsidRPr="007C5567" w:rsidRDefault="004475C8" w:rsidP="004475C8">
      <w:pPr>
        <w:pStyle w:val="RAN4observation"/>
        <w:numPr>
          <w:ilvl w:val="0"/>
          <w:numId w:val="0"/>
        </w:numPr>
        <w:rPr>
          <w:b/>
          <w:bCs/>
        </w:rPr>
      </w:pPr>
      <w:r>
        <w:rPr>
          <w:b/>
          <w:bCs/>
        </w:rPr>
        <w:t>Proposal</w:t>
      </w:r>
      <w:r w:rsidRPr="007C5567">
        <w:rPr>
          <w:b/>
          <w:bCs/>
        </w:rPr>
        <w:t xml:space="preserve"> 2: It is up to implementation how IAB-node gets timing</w:t>
      </w:r>
      <w:r>
        <w:rPr>
          <w:b/>
          <w:bCs/>
        </w:rPr>
        <w:t xml:space="preserve"> </w:t>
      </w:r>
      <w:r w:rsidRPr="007C5567">
        <w:rPr>
          <w:b/>
          <w:bCs/>
        </w:rPr>
        <w:t xml:space="preserve">synchronization </w:t>
      </w:r>
      <w:r>
        <w:rPr>
          <w:b/>
          <w:bCs/>
        </w:rPr>
        <w:t xml:space="preserve">in the test situation. </w:t>
      </w:r>
    </w:p>
    <w:p w14:paraId="2DCA0205" w14:textId="30537743" w:rsidR="00B964A4" w:rsidRDefault="00B964A4" w:rsidP="00B964A4">
      <w:pPr>
        <w:spacing w:beforeLines="50" w:before="136" w:after="0"/>
      </w:pPr>
      <w:r>
        <w:t xml:space="preserve">Depending on the used test setup, it may be possible that HARQ is transmitted by the DUT back to the test equipment. This is however not a necessary function in receiver tests. In Base station tests the performance indicators are derived by the DUT itself, i.e. the DUT keeps track whether the reception was successful or not. This does not require dynamic retransmissions, but rather every transport block is evaluated separately within re-transmissions. Therefore, it is not necessary to specify using HARQ in receiver RF tests. </w:t>
      </w:r>
    </w:p>
    <w:p w14:paraId="567ED101" w14:textId="77777777" w:rsidR="00B964A4" w:rsidRDefault="00B964A4" w:rsidP="00B964A4">
      <w:pPr>
        <w:pStyle w:val="RAN4proposal"/>
        <w:numPr>
          <w:ilvl w:val="0"/>
          <w:numId w:val="0"/>
        </w:numPr>
        <w:spacing w:after="0"/>
      </w:pPr>
    </w:p>
    <w:p w14:paraId="237080A3" w14:textId="2675EE2A" w:rsidR="005302DF" w:rsidRPr="004475C8" w:rsidRDefault="001418AD" w:rsidP="00EC34B7">
      <w:pPr>
        <w:overflowPunct w:val="0"/>
        <w:autoSpaceDE w:val="0"/>
        <w:autoSpaceDN w:val="0"/>
        <w:adjustRightInd w:val="0"/>
        <w:spacing w:beforeLines="50" w:before="136" w:after="0"/>
        <w:textAlignment w:val="baseline"/>
        <w:rPr>
          <w:b/>
          <w:bCs/>
          <w:lang w:val="en-US"/>
        </w:rPr>
      </w:pPr>
      <w:r w:rsidRPr="004475C8">
        <w:rPr>
          <w:b/>
          <w:bCs/>
        </w:rPr>
        <w:t xml:space="preserve">Proposal </w:t>
      </w:r>
      <w:r w:rsidR="007C5567" w:rsidRPr="004475C8">
        <w:rPr>
          <w:b/>
          <w:bCs/>
        </w:rPr>
        <w:t>3</w:t>
      </w:r>
      <w:r w:rsidRPr="004475C8">
        <w:rPr>
          <w:b/>
          <w:bCs/>
        </w:rPr>
        <w:t xml:space="preserve">: RAN4 to </w:t>
      </w:r>
      <w:r w:rsidR="00FD11A1" w:rsidRPr="004475C8">
        <w:rPr>
          <w:b/>
          <w:bCs/>
        </w:rPr>
        <w:t xml:space="preserve">allow at least </w:t>
      </w:r>
      <w:r w:rsidRPr="004475C8">
        <w:rPr>
          <w:b/>
          <w:bCs/>
        </w:rPr>
        <w:t>the approach used in BS testing where performance indicators are derived by the DUT, i.e., by the IAB-MT</w:t>
      </w:r>
      <w:r w:rsidR="007C5567" w:rsidRPr="004475C8">
        <w:rPr>
          <w:b/>
          <w:bCs/>
        </w:rPr>
        <w:t xml:space="preserve">. </w:t>
      </w:r>
      <w:r w:rsidR="00FD11A1" w:rsidRPr="004475C8">
        <w:rPr>
          <w:b/>
          <w:bCs/>
        </w:rPr>
        <w:t>It is not required to specify which entity derives the KPIs in the test situation and this can be left up to implementation.</w:t>
      </w:r>
    </w:p>
    <w:p w14:paraId="61517D42" w14:textId="0E3F2F36" w:rsidR="005302DF" w:rsidRDefault="005302DF" w:rsidP="00EC34B7">
      <w:pPr>
        <w:overflowPunct w:val="0"/>
        <w:autoSpaceDE w:val="0"/>
        <w:autoSpaceDN w:val="0"/>
        <w:adjustRightInd w:val="0"/>
        <w:spacing w:beforeLines="50" w:before="136" w:after="0"/>
        <w:textAlignment w:val="baseline"/>
        <w:rPr>
          <w:b/>
          <w:bCs/>
          <w:lang w:val="en-US"/>
        </w:rPr>
      </w:pPr>
    </w:p>
    <w:p w14:paraId="2902E31D" w14:textId="6ECFA7B9" w:rsidR="005302DF" w:rsidRDefault="005302DF" w:rsidP="00EC34B7">
      <w:pPr>
        <w:overflowPunct w:val="0"/>
        <w:autoSpaceDE w:val="0"/>
        <w:autoSpaceDN w:val="0"/>
        <w:adjustRightInd w:val="0"/>
        <w:spacing w:beforeLines="50" w:before="136" w:after="0"/>
        <w:textAlignment w:val="baseline"/>
        <w:rPr>
          <w:b/>
          <w:bCs/>
          <w:lang w:val="en-US"/>
        </w:rPr>
      </w:pPr>
    </w:p>
    <w:p w14:paraId="2F625C65" w14:textId="6B7F4FA7" w:rsidR="005302DF" w:rsidRDefault="005302DF" w:rsidP="00EC34B7">
      <w:pPr>
        <w:overflowPunct w:val="0"/>
        <w:autoSpaceDE w:val="0"/>
        <w:autoSpaceDN w:val="0"/>
        <w:adjustRightInd w:val="0"/>
        <w:spacing w:beforeLines="50" w:before="136" w:after="0"/>
        <w:textAlignment w:val="baseline"/>
        <w:rPr>
          <w:b/>
          <w:bCs/>
          <w:lang w:val="en-US"/>
        </w:rPr>
      </w:pPr>
    </w:p>
    <w:p w14:paraId="00763621" w14:textId="6C5ACB92" w:rsidR="005302DF" w:rsidRPr="005302DF" w:rsidRDefault="00065A7B" w:rsidP="005302DF">
      <w:pPr>
        <w:pStyle w:val="Heading1"/>
        <w:rPr>
          <w:lang w:eastAsia="zh-CN"/>
        </w:rPr>
      </w:pPr>
      <w:r>
        <w:rPr>
          <w:lang w:eastAsia="zh-CN"/>
        </w:rPr>
        <w:lastRenderedPageBreak/>
        <w:t>Conclusion</w:t>
      </w:r>
      <w:r w:rsidR="009E2215">
        <w:rPr>
          <w:lang w:eastAsia="zh-CN"/>
        </w:rPr>
        <w:t xml:space="preserve"> </w:t>
      </w:r>
    </w:p>
    <w:p w14:paraId="2E36BB03" w14:textId="4EE5C314" w:rsidR="002556F8" w:rsidRPr="002556F8" w:rsidRDefault="00BA1B29" w:rsidP="007C5567">
      <w:pPr>
        <w:rPr>
          <w:b/>
          <w:bCs/>
          <w:lang w:val="en-US"/>
        </w:rPr>
      </w:pPr>
      <w:r>
        <w:rPr>
          <w:lang w:val="sv-SE" w:eastAsia="zh-CN"/>
        </w:rPr>
        <w:t xml:space="preserve">In this contribution </w:t>
      </w:r>
      <w:r w:rsidR="00F46D37">
        <w:rPr>
          <w:lang w:val="sv-SE" w:eastAsia="zh-CN"/>
        </w:rPr>
        <w:t xml:space="preserve">IAB-MT </w:t>
      </w:r>
      <w:r w:rsidR="004F3622">
        <w:rPr>
          <w:lang w:val="sv-SE" w:eastAsia="zh-CN"/>
        </w:rPr>
        <w:t>receiver testing aspects</w:t>
      </w:r>
      <w:r w:rsidR="002556F8">
        <w:rPr>
          <w:lang w:val="sv-SE" w:eastAsia="zh-CN"/>
        </w:rPr>
        <w:t xml:space="preserve"> </w:t>
      </w:r>
      <w:r w:rsidR="00F46D37">
        <w:rPr>
          <w:lang w:val="sv-SE" w:eastAsia="zh-CN"/>
        </w:rPr>
        <w:t xml:space="preserve">were discussed. </w:t>
      </w:r>
      <w:r>
        <w:rPr>
          <w:lang w:val="sv-SE" w:eastAsia="zh-CN"/>
        </w:rPr>
        <w:t xml:space="preserve">The following </w:t>
      </w:r>
      <w:r w:rsidR="004F3622">
        <w:rPr>
          <w:lang w:val="sv-SE" w:eastAsia="zh-CN"/>
        </w:rPr>
        <w:t>observation</w:t>
      </w:r>
      <w:bookmarkStart w:id="0" w:name="_GoBack"/>
      <w:bookmarkEnd w:id="0"/>
      <w:r w:rsidR="002556F8">
        <w:rPr>
          <w:lang w:val="sv-SE" w:eastAsia="zh-CN"/>
        </w:rPr>
        <w:t xml:space="preserve"> and </w:t>
      </w:r>
      <w:r w:rsidR="004F3622">
        <w:rPr>
          <w:lang w:val="sv-SE" w:eastAsia="zh-CN"/>
        </w:rPr>
        <w:t>proposals</w:t>
      </w:r>
      <w:r w:rsidR="002556F8">
        <w:rPr>
          <w:lang w:val="sv-SE" w:eastAsia="zh-CN"/>
        </w:rPr>
        <w:t xml:space="preserve"> w</w:t>
      </w:r>
      <w:r w:rsidR="004F3622">
        <w:rPr>
          <w:lang w:val="sv-SE" w:eastAsia="zh-CN"/>
        </w:rPr>
        <w:t>ere</w:t>
      </w:r>
      <w:r w:rsidR="002556F8">
        <w:rPr>
          <w:lang w:val="sv-SE" w:eastAsia="zh-CN"/>
        </w:rPr>
        <w:t xml:space="preserve"> made</w:t>
      </w:r>
      <w:r w:rsidR="00F46D37">
        <w:rPr>
          <w:lang w:val="sv-SE" w:eastAsia="zh-CN"/>
        </w:rPr>
        <w:t>:</w:t>
      </w:r>
    </w:p>
    <w:p w14:paraId="1415CF35" w14:textId="77777777" w:rsidR="007C5567" w:rsidRPr="004475C8" w:rsidRDefault="007C5567" w:rsidP="004475C8">
      <w:pPr>
        <w:pStyle w:val="RAN4observation"/>
        <w:numPr>
          <w:ilvl w:val="0"/>
          <w:numId w:val="0"/>
        </w:numPr>
        <w:rPr>
          <w:b/>
          <w:bCs/>
        </w:rPr>
      </w:pPr>
      <w:r w:rsidRPr="004475C8">
        <w:rPr>
          <w:b/>
          <w:bCs/>
        </w:rPr>
        <w:t>Observation 1: The test purpose of the receiver test is to verify RF performance, such as noise level and linearity, whereas throughput measurements as just a tool used in the process. Demodulation performance tests are separate from RF tests.</w:t>
      </w:r>
    </w:p>
    <w:p w14:paraId="79314DC8" w14:textId="77777777" w:rsidR="004475C8" w:rsidRPr="004475C8" w:rsidRDefault="004475C8" w:rsidP="004475C8">
      <w:pPr>
        <w:pStyle w:val="RAN4observation"/>
        <w:numPr>
          <w:ilvl w:val="0"/>
          <w:numId w:val="0"/>
        </w:numPr>
        <w:rPr>
          <w:b/>
          <w:bCs/>
        </w:rPr>
      </w:pPr>
    </w:p>
    <w:p w14:paraId="55290D9E" w14:textId="258BA478" w:rsidR="007C5567" w:rsidRPr="004475C8" w:rsidRDefault="007C5567" w:rsidP="004475C8">
      <w:pPr>
        <w:pStyle w:val="RAN4observation"/>
        <w:numPr>
          <w:ilvl w:val="0"/>
          <w:numId w:val="0"/>
        </w:numPr>
        <w:rPr>
          <w:b/>
          <w:bCs/>
        </w:rPr>
      </w:pPr>
      <w:r w:rsidRPr="004475C8">
        <w:rPr>
          <w:b/>
          <w:bCs/>
        </w:rPr>
        <w:t>Proposal 1: Adopt the BS Rx testing approach as described in [1] for IAB-MT.</w:t>
      </w:r>
    </w:p>
    <w:p w14:paraId="20E9E5EC" w14:textId="77777777" w:rsidR="004475C8" w:rsidRDefault="004475C8" w:rsidP="007C5567">
      <w:pPr>
        <w:pStyle w:val="RAN4observation"/>
        <w:numPr>
          <w:ilvl w:val="0"/>
          <w:numId w:val="0"/>
        </w:numPr>
        <w:rPr>
          <w:b/>
          <w:bCs/>
        </w:rPr>
      </w:pPr>
    </w:p>
    <w:p w14:paraId="5C8ADEB6" w14:textId="67A9E3B3" w:rsidR="004475C8" w:rsidRPr="007C5567" w:rsidRDefault="004475C8" w:rsidP="004475C8">
      <w:pPr>
        <w:pStyle w:val="RAN4observation"/>
        <w:numPr>
          <w:ilvl w:val="0"/>
          <w:numId w:val="0"/>
        </w:numPr>
        <w:rPr>
          <w:b/>
          <w:bCs/>
        </w:rPr>
      </w:pPr>
      <w:r w:rsidRPr="00744CBC">
        <w:rPr>
          <w:b/>
          <w:bCs/>
        </w:rPr>
        <w:t>Proposal 2: It is up to implementation how IAB-node gets timing synchronization in the test situation.</w:t>
      </w:r>
      <w:r>
        <w:rPr>
          <w:b/>
          <w:bCs/>
        </w:rPr>
        <w:t xml:space="preserve"> </w:t>
      </w:r>
    </w:p>
    <w:p w14:paraId="2E3340D4" w14:textId="77777777" w:rsidR="004738C9" w:rsidRPr="004475C8" w:rsidRDefault="004738C9" w:rsidP="004738C9">
      <w:pPr>
        <w:overflowPunct w:val="0"/>
        <w:autoSpaceDE w:val="0"/>
        <w:autoSpaceDN w:val="0"/>
        <w:adjustRightInd w:val="0"/>
        <w:spacing w:beforeLines="50" w:before="136" w:after="0"/>
        <w:textAlignment w:val="baseline"/>
        <w:rPr>
          <w:b/>
          <w:bCs/>
          <w:lang w:val="en-US"/>
        </w:rPr>
      </w:pPr>
      <w:r w:rsidRPr="004475C8">
        <w:rPr>
          <w:b/>
          <w:bCs/>
        </w:rPr>
        <w:t>Proposal 3: RAN4 to allow at least the approach used in BS testing where performance indicators are derived by the DUT, i.e., by the IAB-MT. It is not required to specify which entity derives the KPIs in the test situation and this can be left up to implementation.</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7E3D9B52" w14:textId="69E22D1D" w:rsidR="00EC34B7" w:rsidRPr="00065A7B" w:rsidRDefault="00065A7B" w:rsidP="00F46D37">
      <w:pPr>
        <w:rPr>
          <w:lang w:val="en-US" w:eastAsia="ja-JP"/>
        </w:rPr>
      </w:pPr>
      <w:r>
        <w:rPr>
          <w:lang w:val="en-US" w:eastAsia="ja-JP"/>
        </w:rPr>
        <w:t xml:space="preserve">[1] </w:t>
      </w:r>
      <w:r w:rsidR="00F46D37">
        <w:rPr>
          <w:lang w:val="en-US" w:eastAsia="ja-JP"/>
        </w:rPr>
        <w:t>R4-</w:t>
      </w:r>
      <w:r w:rsidR="00C04162">
        <w:rPr>
          <w:lang w:val="en-US" w:eastAsia="ja-JP"/>
        </w:rPr>
        <w:t xml:space="preserve">2017672, </w:t>
      </w:r>
      <w:r w:rsidR="00C04162" w:rsidRPr="00C04162">
        <w:rPr>
          <w:lang w:val="en-US" w:eastAsia="ja-JP"/>
        </w:rPr>
        <w:t>WF on manufacturer declarations, test models and configurations including Rx FRC, Ericsson</w:t>
      </w:r>
    </w:p>
    <w:sectPr w:rsidR="00EC34B7"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71894" w14:textId="77777777" w:rsidR="00504816" w:rsidRDefault="00504816" w:rsidP="001E365C">
      <w:pPr>
        <w:spacing w:after="0"/>
      </w:pPr>
      <w:r>
        <w:separator/>
      </w:r>
    </w:p>
  </w:endnote>
  <w:endnote w:type="continuationSeparator" w:id="0">
    <w:p w14:paraId="30014DE0" w14:textId="77777777" w:rsidR="00504816" w:rsidRDefault="00504816" w:rsidP="001E365C">
      <w:pPr>
        <w:spacing w:after="0"/>
      </w:pPr>
      <w:r>
        <w:continuationSeparator/>
      </w:r>
    </w:p>
  </w:endnote>
  <w:endnote w:type="continuationNotice" w:id="1">
    <w:p w14:paraId="75C70546" w14:textId="77777777" w:rsidR="00504816" w:rsidRDefault="00504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B73E7" w:rsidRDefault="00FB7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2C23F3" w:rsidRDefault="002C23F3">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2C23F3" w:rsidRPr="002C23F3" w:rsidRDefault="002C23F3"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2C23F3" w:rsidRPr="002C23F3" w:rsidRDefault="002C23F3"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B73E7" w:rsidRDefault="00FB7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66C95" w14:textId="77777777" w:rsidR="00504816" w:rsidRDefault="00504816" w:rsidP="001E365C">
      <w:pPr>
        <w:spacing w:after="0"/>
      </w:pPr>
      <w:r>
        <w:separator/>
      </w:r>
    </w:p>
  </w:footnote>
  <w:footnote w:type="continuationSeparator" w:id="0">
    <w:p w14:paraId="308A2D2F" w14:textId="77777777" w:rsidR="00504816" w:rsidRDefault="00504816" w:rsidP="001E365C">
      <w:pPr>
        <w:spacing w:after="0"/>
      </w:pPr>
      <w:r>
        <w:continuationSeparator/>
      </w:r>
    </w:p>
  </w:footnote>
  <w:footnote w:type="continuationNotice" w:id="1">
    <w:p w14:paraId="13F2F9FB" w14:textId="77777777" w:rsidR="00504816" w:rsidRDefault="00504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B73E7" w:rsidRDefault="00FB7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B73E7" w:rsidRDefault="00FB7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B73E7" w:rsidRDefault="00FB7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2D53"/>
    <w:multiLevelType w:val="hybridMultilevel"/>
    <w:tmpl w:val="E6AACAC2"/>
    <w:lvl w:ilvl="0" w:tplc="0122CF2E">
      <w:start w:val="1"/>
      <w:numFmt w:val="bullet"/>
      <w:lvlText w:val="•"/>
      <w:lvlJc w:val="left"/>
      <w:pPr>
        <w:tabs>
          <w:tab w:val="num" w:pos="720"/>
        </w:tabs>
        <w:ind w:left="720" w:hanging="360"/>
      </w:pPr>
      <w:rPr>
        <w:rFonts w:ascii="Arial" w:hAnsi="Arial" w:hint="default"/>
      </w:rPr>
    </w:lvl>
    <w:lvl w:ilvl="1" w:tplc="C16AB502">
      <w:numFmt w:val="bullet"/>
      <w:lvlText w:val="•"/>
      <w:lvlJc w:val="left"/>
      <w:pPr>
        <w:tabs>
          <w:tab w:val="num" w:pos="1440"/>
        </w:tabs>
        <w:ind w:left="1440" w:hanging="360"/>
      </w:pPr>
      <w:rPr>
        <w:rFonts w:ascii="Arial" w:hAnsi="Arial" w:hint="default"/>
      </w:rPr>
    </w:lvl>
    <w:lvl w:ilvl="2" w:tplc="8FB23D5E">
      <w:start w:val="1"/>
      <w:numFmt w:val="bullet"/>
      <w:lvlText w:val="•"/>
      <w:lvlJc w:val="left"/>
      <w:pPr>
        <w:tabs>
          <w:tab w:val="num" w:pos="2160"/>
        </w:tabs>
        <w:ind w:left="2160" w:hanging="360"/>
      </w:pPr>
      <w:rPr>
        <w:rFonts w:ascii="Arial" w:hAnsi="Arial" w:hint="default"/>
      </w:rPr>
    </w:lvl>
    <w:lvl w:ilvl="3" w:tplc="C33EC5AA" w:tentative="1">
      <w:start w:val="1"/>
      <w:numFmt w:val="bullet"/>
      <w:lvlText w:val="•"/>
      <w:lvlJc w:val="left"/>
      <w:pPr>
        <w:tabs>
          <w:tab w:val="num" w:pos="2880"/>
        </w:tabs>
        <w:ind w:left="2880" w:hanging="360"/>
      </w:pPr>
      <w:rPr>
        <w:rFonts w:ascii="Arial" w:hAnsi="Arial" w:hint="default"/>
      </w:rPr>
    </w:lvl>
    <w:lvl w:ilvl="4" w:tplc="992C9B40" w:tentative="1">
      <w:start w:val="1"/>
      <w:numFmt w:val="bullet"/>
      <w:lvlText w:val="•"/>
      <w:lvlJc w:val="left"/>
      <w:pPr>
        <w:tabs>
          <w:tab w:val="num" w:pos="3600"/>
        </w:tabs>
        <w:ind w:left="3600" w:hanging="360"/>
      </w:pPr>
      <w:rPr>
        <w:rFonts w:ascii="Arial" w:hAnsi="Arial" w:hint="default"/>
      </w:rPr>
    </w:lvl>
    <w:lvl w:ilvl="5" w:tplc="6EB0DEE8" w:tentative="1">
      <w:start w:val="1"/>
      <w:numFmt w:val="bullet"/>
      <w:lvlText w:val="•"/>
      <w:lvlJc w:val="left"/>
      <w:pPr>
        <w:tabs>
          <w:tab w:val="num" w:pos="4320"/>
        </w:tabs>
        <w:ind w:left="4320" w:hanging="360"/>
      </w:pPr>
      <w:rPr>
        <w:rFonts w:ascii="Arial" w:hAnsi="Arial" w:hint="default"/>
      </w:rPr>
    </w:lvl>
    <w:lvl w:ilvl="6" w:tplc="1BD2A032" w:tentative="1">
      <w:start w:val="1"/>
      <w:numFmt w:val="bullet"/>
      <w:lvlText w:val="•"/>
      <w:lvlJc w:val="left"/>
      <w:pPr>
        <w:tabs>
          <w:tab w:val="num" w:pos="5040"/>
        </w:tabs>
        <w:ind w:left="5040" w:hanging="360"/>
      </w:pPr>
      <w:rPr>
        <w:rFonts w:ascii="Arial" w:hAnsi="Arial" w:hint="default"/>
      </w:rPr>
    </w:lvl>
    <w:lvl w:ilvl="7" w:tplc="1F5C71A8" w:tentative="1">
      <w:start w:val="1"/>
      <w:numFmt w:val="bullet"/>
      <w:lvlText w:val="•"/>
      <w:lvlJc w:val="left"/>
      <w:pPr>
        <w:tabs>
          <w:tab w:val="num" w:pos="5760"/>
        </w:tabs>
        <w:ind w:left="5760" w:hanging="360"/>
      </w:pPr>
      <w:rPr>
        <w:rFonts w:ascii="Arial" w:hAnsi="Arial" w:hint="default"/>
      </w:rPr>
    </w:lvl>
    <w:lvl w:ilvl="8" w:tplc="B5FCFCC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C4DF2"/>
    <w:multiLevelType w:val="hybridMultilevel"/>
    <w:tmpl w:val="CB96D724"/>
    <w:lvl w:ilvl="0" w:tplc="040B0003">
      <w:start w:val="1"/>
      <w:numFmt w:val="bullet"/>
      <w:lvlText w:val="o"/>
      <w:lvlJc w:val="left"/>
      <w:pPr>
        <w:ind w:left="1440" w:hanging="360"/>
      </w:pPr>
      <w:rPr>
        <w:rFonts w:ascii="Courier New" w:hAnsi="Courier New" w:cs="Courier New"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start w:val="1"/>
      <w:numFmt w:val="bullet"/>
      <w:lvlText w:val="o"/>
      <w:lvlJc w:val="left"/>
      <w:pPr>
        <w:ind w:left="4320" w:hanging="360"/>
      </w:pPr>
      <w:rPr>
        <w:rFonts w:ascii="Courier New" w:hAnsi="Courier New" w:cs="Courier New" w:hint="default"/>
      </w:rPr>
    </w:lvl>
    <w:lvl w:ilvl="5" w:tplc="040B0005">
      <w:start w:val="1"/>
      <w:numFmt w:val="bullet"/>
      <w:lvlText w:val=""/>
      <w:lvlJc w:val="left"/>
      <w:pPr>
        <w:ind w:left="5040" w:hanging="360"/>
      </w:pPr>
      <w:rPr>
        <w:rFonts w:ascii="Wingdings" w:hAnsi="Wingdings" w:hint="default"/>
      </w:rPr>
    </w:lvl>
    <w:lvl w:ilvl="6" w:tplc="040B0001">
      <w:start w:val="1"/>
      <w:numFmt w:val="bullet"/>
      <w:lvlText w:val=""/>
      <w:lvlJc w:val="left"/>
      <w:pPr>
        <w:ind w:left="5760" w:hanging="360"/>
      </w:pPr>
      <w:rPr>
        <w:rFonts w:ascii="Symbol" w:hAnsi="Symbol" w:hint="default"/>
      </w:rPr>
    </w:lvl>
    <w:lvl w:ilvl="7" w:tplc="040B0003">
      <w:start w:val="1"/>
      <w:numFmt w:val="bullet"/>
      <w:lvlText w:val="o"/>
      <w:lvlJc w:val="left"/>
      <w:pPr>
        <w:ind w:left="6480" w:hanging="360"/>
      </w:pPr>
      <w:rPr>
        <w:rFonts w:ascii="Courier New" w:hAnsi="Courier New" w:cs="Courier New" w:hint="default"/>
      </w:rPr>
    </w:lvl>
    <w:lvl w:ilvl="8" w:tplc="040B0005">
      <w:start w:val="1"/>
      <w:numFmt w:val="bullet"/>
      <w:lvlText w:val=""/>
      <w:lvlJc w:val="left"/>
      <w:pPr>
        <w:ind w:left="7200"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03A54"/>
    <w:multiLevelType w:val="multilevel"/>
    <w:tmpl w:val="22D03A54"/>
    <w:lvl w:ilvl="0">
      <w:start w:val="1"/>
      <w:numFmt w:val="bullet"/>
      <w:pStyle w:val="RAN4observation"/>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41B22DE"/>
    <w:multiLevelType w:val="hybridMultilevel"/>
    <w:tmpl w:val="A76E9DA6"/>
    <w:lvl w:ilvl="0" w:tplc="040B0011">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180"/>
      </w:pPr>
      <w:rPr>
        <w:rFonts w:ascii="Courier New" w:hAnsi="Courier New" w:cs="Courier New" w:hint="default"/>
      </w:r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B43B9D"/>
    <w:multiLevelType w:val="hybridMultilevel"/>
    <w:tmpl w:val="F4389D40"/>
    <w:lvl w:ilvl="0" w:tplc="B9CC6926">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D6E3167"/>
    <w:multiLevelType w:val="hybridMultilevel"/>
    <w:tmpl w:val="7EA28236"/>
    <w:lvl w:ilvl="0" w:tplc="D316A84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8F52B1"/>
    <w:multiLevelType w:val="hybridMultilevel"/>
    <w:tmpl w:val="507620DA"/>
    <w:lvl w:ilvl="0" w:tplc="A6C8C7DA">
      <w:start w:val="1"/>
      <w:numFmt w:val="bullet"/>
      <w:lvlText w:val="•"/>
      <w:lvlJc w:val="left"/>
      <w:pPr>
        <w:tabs>
          <w:tab w:val="num" w:pos="720"/>
        </w:tabs>
        <w:ind w:left="720" w:hanging="360"/>
      </w:pPr>
      <w:rPr>
        <w:rFonts w:ascii="Arial" w:hAnsi="Arial" w:hint="default"/>
      </w:rPr>
    </w:lvl>
    <w:lvl w:ilvl="1" w:tplc="6D5A85E6">
      <w:numFmt w:val="bullet"/>
      <w:lvlText w:val="•"/>
      <w:lvlJc w:val="left"/>
      <w:pPr>
        <w:tabs>
          <w:tab w:val="num" w:pos="1440"/>
        </w:tabs>
        <w:ind w:left="1440" w:hanging="360"/>
      </w:pPr>
      <w:rPr>
        <w:rFonts w:ascii="Arial" w:hAnsi="Arial" w:hint="default"/>
      </w:rPr>
    </w:lvl>
    <w:lvl w:ilvl="2" w:tplc="46FC8512">
      <w:start w:val="1"/>
      <w:numFmt w:val="bullet"/>
      <w:lvlText w:val="•"/>
      <w:lvlJc w:val="left"/>
      <w:pPr>
        <w:tabs>
          <w:tab w:val="num" w:pos="2160"/>
        </w:tabs>
        <w:ind w:left="2160" w:hanging="360"/>
      </w:pPr>
      <w:rPr>
        <w:rFonts w:ascii="Arial" w:hAnsi="Arial" w:hint="default"/>
      </w:rPr>
    </w:lvl>
    <w:lvl w:ilvl="3" w:tplc="A7D2C5A0" w:tentative="1">
      <w:start w:val="1"/>
      <w:numFmt w:val="bullet"/>
      <w:lvlText w:val="•"/>
      <w:lvlJc w:val="left"/>
      <w:pPr>
        <w:tabs>
          <w:tab w:val="num" w:pos="2880"/>
        </w:tabs>
        <w:ind w:left="2880" w:hanging="360"/>
      </w:pPr>
      <w:rPr>
        <w:rFonts w:ascii="Arial" w:hAnsi="Arial" w:hint="default"/>
      </w:rPr>
    </w:lvl>
    <w:lvl w:ilvl="4" w:tplc="0B586F26" w:tentative="1">
      <w:start w:val="1"/>
      <w:numFmt w:val="bullet"/>
      <w:lvlText w:val="•"/>
      <w:lvlJc w:val="left"/>
      <w:pPr>
        <w:tabs>
          <w:tab w:val="num" w:pos="3600"/>
        </w:tabs>
        <w:ind w:left="3600" w:hanging="360"/>
      </w:pPr>
      <w:rPr>
        <w:rFonts w:ascii="Arial" w:hAnsi="Arial" w:hint="default"/>
      </w:rPr>
    </w:lvl>
    <w:lvl w:ilvl="5" w:tplc="90B61AC0" w:tentative="1">
      <w:start w:val="1"/>
      <w:numFmt w:val="bullet"/>
      <w:lvlText w:val="•"/>
      <w:lvlJc w:val="left"/>
      <w:pPr>
        <w:tabs>
          <w:tab w:val="num" w:pos="4320"/>
        </w:tabs>
        <w:ind w:left="4320" w:hanging="360"/>
      </w:pPr>
      <w:rPr>
        <w:rFonts w:ascii="Arial" w:hAnsi="Arial" w:hint="default"/>
      </w:rPr>
    </w:lvl>
    <w:lvl w:ilvl="6" w:tplc="803C09C6" w:tentative="1">
      <w:start w:val="1"/>
      <w:numFmt w:val="bullet"/>
      <w:lvlText w:val="•"/>
      <w:lvlJc w:val="left"/>
      <w:pPr>
        <w:tabs>
          <w:tab w:val="num" w:pos="5040"/>
        </w:tabs>
        <w:ind w:left="5040" w:hanging="360"/>
      </w:pPr>
      <w:rPr>
        <w:rFonts w:ascii="Arial" w:hAnsi="Arial" w:hint="default"/>
      </w:rPr>
    </w:lvl>
    <w:lvl w:ilvl="7" w:tplc="339E95C6" w:tentative="1">
      <w:start w:val="1"/>
      <w:numFmt w:val="bullet"/>
      <w:lvlText w:val="•"/>
      <w:lvlJc w:val="left"/>
      <w:pPr>
        <w:tabs>
          <w:tab w:val="num" w:pos="5760"/>
        </w:tabs>
        <w:ind w:left="5760" w:hanging="360"/>
      </w:pPr>
      <w:rPr>
        <w:rFonts w:ascii="Arial" w:hAnsi="Arial" w:hint="default"/>
      </w:rPr>
    </w:lvl>
    <w:lvl w:ilvl="8" w:tplc="7AC66E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6EA681E"/>
    <w:multiLevelType w:val="hybridMultilevel"/>
    <w:tmpl w:val="B9FC7A2E"/>
    <w:lvl w:ilvl="0" w:tplc="7E20F16E">
      <w:start w:val="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BBD7558"/>
    <w:multiLevelType w:val="hybridMultilevel"/>
    <w:tmpl w:val="AE72D78E"/>
    <w:lvl w:ilvl="0" w:tplc="6FE4FDD6">
      <w:start w:val="2"/>
      <w:numFmt w:val="bullet"/>
      <w:lvlText w:val=""/>
      <w:lvlJc w:val="left"/>
      <w:pPr>
        <w:ind w:left="1080" w:hanging="360"/>
      </w:pPr>
      <w:rPr>
        <w:rFonts w:ascii="Wingdings" w:eastAsia="MS Mincho" w:hAnsi="Wingdings"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1" w15:restartNumberingAfterBreak="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3" w15:restartNumberingAfterBreak="0">
    <w:nsid w:val="7BFE15F8"/>
    <w:multiLevelType w:val="hybridMultilevel"/>
    <w:tmpl w:val="63B0CF26"/>
    <w:lvl w:ilvl="0" w:tplc="8070BD80">
      <w:start w:val="1"/>
      <w:numFmt w:val="bullet"/>
      <w:lvlText w:val="-"/>
      <w:lvlJc w:val="left"/>
      <w:pPr>
        <w:ind w:left="1496" w:hanging="360"/>
      </w:pPr>
      <w:rPr>
        <w:rFonts w:ascii="Calibri" w:eastAsia="DengXian" w:hAnsi="Calibri" w:cs="Calibri" w:hint="default"/>
        <w:color w:val="00B050"/>
        <w:sz w:val="22"/>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num w:numId="1">
    <w:abstractNumId w:val="9"/>
  </w:num>
  <w:num w:numId="2">
    <w:abstractNumId w:val="5"/>
  </w:num>
  <w:num w:numId="3">
    <w:abstractNumId w:val="4"/>
  </w:num>
  <w:num w:numId="4">
    <w:abstractNumId w:val="14"/>
  </w:num>
  <w:num w:numId="5">
    <w:abstractNumId w:val="11"/>
  </w:num>
  <w:num w:numId="6">
    <w:abstractNumId w:val="1"/>
  </w:num>
  <w:num w:numId="7">
    <w:abstractNumId w:val="6"/>
  </w:num>
  <w:num w:numId="8">
    <w:abstractNumId w:val="18"/>
  </w:num>
  <w:num w:numId="9">
    <w:abstractNumId w:val="16"/>
  </w:num>
  <w:num w:numId="10">
    <w:abstractNumId w:val="3"/>
  </w:num>
  <w:num w:numId="11">
    <w:abstractNumId w:val="19"/>
  </w:num>
  <w:num w:numId="12">
    <w:abstractNumId w:val="13"/>
  </w:num>
  <w:num w:numId="13">
    <w:abstractNumId w:val="22"/>
  </w:num>
  <w:num w:numId="14">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1"/>
  </w:num>
  <w:num w:numId="17">
    <w:abstractNumId w:val="15"/>
  </w:num>
  <w:num w:numId="18">
    <w:abstractNumId w:val="0"/>
  </w:num>
  <w:num w:numId="19">
    <w:abstractNumId w:val="23"/>
  </w:num>
  <w:num w:numId="20">
    <w:abstractNumId w:val="8"/>
  </w:num>
  <w:num w:numId="21">
    <w:abstractNumId w:val="17"/>
  </w:num>
  <w:num w:numId="22">
    <w:abstractNumId w:val="20"/>
  </w:num>
  <w:num w:numId="23">
    <w:abstractNumId w:val="12"/>
  </w:num>
  <w:num w:numId="24">
    <w:abstractNumId w:val="1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26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18AD"/>
    <w:rsid w:val="0014294C"/>
    <w:rsid w:val="00142BB9"/>
    <w:rsid w:val="00144F96"/>
    <w:rsid w:val="00145213"/>
    <w:rsid w:val="00151EAC"/>
    <w:rsid w:val="00153528"/>
    <w:rsid w:val="00154E68"/>
    <w:rsid w:val="00157F6E"/>
    <w:rsid w:val="0016172A"/>
    <w:rsid w:val="00161BE7"/>
    <w:rsid w:val="00162548"/>
    <w:rsid w:val="00166F7E"/>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44E08"/>
    <w:rsid w:val="00252DB8"/>
    <w:rsid w:val="002537BC"/>
    <w:rsid w:val="002556F8"/>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33A1"/>
    <w:rsid w:val="002B516C"/>
    <w:rsid w:val="002B5C6E"/>
    <w:rsid w:val="002B5D6C"/>
    <w:rsid w:val="002B5E1D"/>
    <w:rsid w:val="002B60C1"/>
    <w:rsid w:val="002B75A4"/>
    <w:rsid w:val="002C0040"/>
    <w:rsid w:val="002C0D0A"/>
    <w:rsid w:val="002C23F3"/>
    <w:rsid w:val="002C4B52"/>
    <w:rsid w:val="002D03E5"/>
    <w:rsid w:val="002D225F"/>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54D3"/>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1D9"/>
    <w:rsid w:val="0038760F"/>
    <w:rsid w:val="00387E66"/>
    <w:rsid w:val="00393042"/>
    <w:rsid w:val="00394AD5"/>
    <w:rsid w:val="0039604A"/>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99C"/>
    <w:rsid w:val="00424F8C"/>
    <w:rsid w:val="004271BA"/>
    <w:rsid w:val="00427359"/>
    <w:rsid w:val="00430497"/>
    <w:rsid w:val="00434AAB"/>
    <w:rsid w:val="00434DC1"/>
    <w:rsid w:val="004350F4"/>
    <w:rsid w:val="004412A0"/>
    <w:rsid w:val="00442417"/>
    <w:rsid w:val="004444CB"/>
    <w:rsid w:val="00446408"/>
    <w:rsid w:val="0044722C"/>
    <w:rsid w:val="004475C8"/>
    <w:rsid w:val="004501AC"/>
    <w:rsid w:val="00450F27"/>
    <w:rsid w:val="004510E5"/>
    <w:rsid w:val="00455179"/>
    <w:rsid w:val="00456A75"/>
    <w:rsid w:val="00461E39"/>
    <w:rsid w:val="004623A7"/>
    <w:rsid w:val="00462D3A"/>
    <w:rsid w:val="00463521"/>
    <w:rsid w:val="004635F9"/>
    <w:rsid w:val="004644FC"/>
    <w:rsid w:val="00471125"/>
    <w:rsid w:val="004738C9"/>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3622"/>
    <w:rsid w:val="004F613B"/>
    <w:rsid w:val="004F6342"/>
    <w:rsid w:val="005017F7"/>
    <w:rsid w:val="00501FA7"/>
    <w:rsid w:val="005034DC"/>
    <w:rsid w:val="00504816"/>
    <w:rsid w:val="005048C8"/>
    <w:rsid w:val="00505BFA"/>
    <w:rsid w:val="005071B4"/>
    <w:rsid w:val="00507687"/>
    <w:rsid w:val="005117A9"/>
    <w:rsid w:val="00511F57"/>
    <w:rsid w:val="00515CBE"/>
    <w:rsid w:val="00515E2B"/>
    <w:rsid w:val="00517237"/>
    <w:rsid w:val="00520294"/>
    <w:rsid w:val="00522A7E"/>
    <w:rsid w:val="00522F20"/>
    <w:rsid w:val="00524136"/>
    <w:rsid w:val="005302DF"/>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2699"/>
    <w:rsid w:val="00613291"/>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ADD"/>
    <w:rsid w:val="00654067"/>
    <w:rsid w:val="00654FA3"/>
    <w:rsid w:val="0065505B"/>
    <w:rsid w:val="00655495"/>
    <w:rsid w:val="0065577D"/>
    <w:rsid w:val="00656EE7"/>
    <w:rsid w:val="00657598"/>
    <w:rsid w:val="00660381"/>
    <w:rsid w:val="00660482"/>
    <w:rsid w:val="00665B63"/>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41305"/>
    <w:rsid w:val="00744CBC"/>
    <w:rsid w:val="007520B4"/>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4C06"/>
    <w:rsid w:val="007C5567"/>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1E7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06D5"/>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2DEE"/>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0240"/>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0DD4"/>
    <w:rsid w:val="009C492F"/>
    <w:rsid w:val="009C7D22"/>
    <w:rsid w:val="009C7E65"/>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291D"/>
    <w:rsid w:val="00A0758F"/>
    <w:rsid w:val="00A1397F"/>
    <w:rsid w:val="00A1570A"/>
    <w:rsid w:val="00A211B4"/>
    <w:rsid w:val="00A215F9"/>
    <w:rsid w:val="00A22BD2"/>
    <w:rsid w:val="00A235FE"/>
    <w:rsid w:val="00A33DDF"/>
    <w:rsid w:val="00A34547"/>
    <w:rsid w:val="00A376B7"/>
    <w:rsid w:val="00A37F07"/>
    <w:rsid w:val="00A412FF"/>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D6B"/>
    <w:rsid w:val="00AD3F71"/>
    <w:rsid w:val="00AD7713"/>
    <w:rsid w:val="00AD7736"/>
    <w:rsid w:val="00AD7D18"/>
    <w:rsid w:val="00AE003B"/>
    <w:rsid w:val="00AE10CE"/>
    <w:rsid w:val="00AE1F8D"/>
    <w:rsid w:val="00AE2CD0"/>
    <w:rsid w:val="00AE70D4"/>
    <w:rsid w:val="00AE7868"/>
    <w:rsid w:val="00AF0407"/>
    <w:rsid w:val="00AF4B16"/>
    <w:rsid w:val="00AF4D8B"/>
    <w:rsid w:val="00AF718B"/>
    <w:rsid w:val="00B01BC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4508"/>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FA3"/>
    <w:rsid w:val="00B964A4"/>
    <w:rsid w:val="00BA084C"/>
    <w:rsid w:val="00BA1B29"/>
    <w:rsid w:val="00BA259A"/>
    <w:rsid w:val="00BA259C"/>
    <w:rsid w:val="00BA29D3"/>
    <w:rsid w:val="00BA307F"/>
    <w:rsid w:val="00BA37F5"/>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1561"/>
    <w:rsid w:val="00BE33AE"/>
    <w:rsid w:val="00BE3E22"/>
    <w:rsid w:val="00BF046F"/>
    <w:rsid w:val="00BF0905"/>
    <w:rsid w:val="00BF344A"/>
    <w:rsid w:val="00C01D50"/>
    <w:rsid w:val="00C04162"/>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190D"/>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3188C"/>
    <w:rsid w:val="00D35F9B"/>
    <w:rsid w:val="00D36B69"/>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0832"/>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5E87"/>
    <w:rsid w:val="00E661FF"/>
    <w:rsid w:val="00E7184F"/>
    <w:rsid w:val="00E726EB"/>
    <w:rsid w:val="00E7535B"/>
    <w:rsid w:val="00E80B52"/>
    <w:rsid w:val="00E81B35"/>
    <w:rsid w:val="00E824C3"/>
    <w:rsid w:val="00E83B3D"/>
    <w:rsid w:val="00E840B3"/>
    <w:rsid w:val="00E8479F"/>
    <w:rsid w:val="00E84D10"/>
    <w:rsid w:val="00E8629F"/>
    <w:rsid w:val="00E91008"/>
    <w:rsid w:val="00E9374E"/>
    <w:rsid w:val="00E941F3"/>
    <w:rsid w:val="00E94F54"/>
    <w:rsid w:val="00E96E7C"/>
    <w:rsid w:val="00E97AD5"/>
    <w:rsid w:val="00EA1111"/>
    <w:rsid w:val="00EA1DE6"/>
    <w:rsid w:val="00EA2148"/>
    <w:rsid w:val="00EA3B4F"/>
    <w:rsid w:val="00EA3C24"/>
    <w:rsid w:val="00EA67E2"/>
    <w:rsid w:val="00EA73DF"/>
    <w:rsid w:val="00EB61AE"/>
    <w:rsid w:val="00EB72F1"/>
    <w:rsid w:val="00EC322D"/>
    <w:rsid w:val="00EC34B7"/>
    <w:rsid w:val="00EC57AB"/>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4614"/>
    <w:rsid w:val="00F35516"/>
    <w:rsid w:val="00F35790"/>
    <w:rsid w:val="00F40D70"/>
    <w:rsid w:val="00F4136D"/>
    <w:rsid w:val="00F4212E"/>
    <w:rsid w:val="00F42C20"/>
    <w:rsid w:val="00F43B39"/>
    <w:rsid w:val="00F43E34"/>
    <w:rsid w:val="00F46D37"/>
    <w:rsid w:val="00F53053"/>
    <w:rsid w:val="00F53FE2"/>
    <w:rsid w:val="00F544EE"/>
    <w:rsid w:val="00F575FF"/>
    <w:rsid w:val="00F602B0"/>
    <w:rsid w:val="00F60878"/>
    <w:rsid w:val="00F618EF"/>
    <w:rsid w:val="00F65582"/>
    <w:rsid w:val="00F66C03"/>
    <w:rsid w:val="00F66E75"/>
    <w:rsid w:val="00F756FA"/>
    <w:rsid w:val="00F7617E"/>
    <w:rsid w:val="00F77EB0"/>
    <w:rsid w:val="00F83D3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11A1"/>
    <w:rsid w:val="00FD25BE"/>
    <w:rsid w:val="00FD2E70"/>
    <w:rsid w:val="00FD7AA7"/>
    <w:rsid w:val="00FE10AA"/>
    <w:rsid w:val="00FE54F4"/>
    <w:rsid w:val="00FE5743"/>
    <w:rsid w:val="00FE656A"/>
    <w:rsid w:val="00FE7371"/>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customStyle="1" w:styleId="RAN4proposal">
    <w:name w:val="RAN4 proposal"/>
    <w:basedOn w:val="Caption"/>
    <w:next w:val="Normal"/>
    <w:link w:val="RAN4proposalChar"/>
    <w:qFormat/>
    <w:rsid w:val="001418AD"/>
    <w:pPr>
      <w:numPr>
        <w:numId w:val="23"/>
      </w:numPr>
      <w:spacing w:before="0" w:after="200"/>
      <w:ind w:left="0" w:firstLine="0"/>
    </w:pPr>
    <w:rPr>
      <w:rFonts w:eastAsiaTheme="minorHAnsi" w:cstheme="minorBidi"/>
      <w:iCs/>
      <w:szCs w:val="18"/>
    </w:rPr>
  </w:style>
  <w:style w:type="character" w:customStyle="1" w:styleId="RAN4proposalChar">
    <w:name w:val="RAN4 proposal Char"/>
    <w:basedOn w:val="CaptionChar"/>
    <w:link w:val="RAN4proposal"/>
    <w:rsid w:val="001418AD"/>
    <w:rPr>
      <w:rFonts w:eastAsiaTheme="minorHAnsi" w:cstheme="minorBidi"/>
      <w:b/>
      <w:iCs/>
      <w:szCs w:val="18"/>
      <w:lang w:val="en-GB" w:eastAsia="en-US"/>
    </w:rPr>
  </w:style>
  <w:style w:type="paragraph" w:customStyle="1" w:styleId="RAN4Observation0">
    <w:name w:val="RAN4 Observation"/>
    <w:basedOn w:val="Normal"/>
    <w:next w:val="Normal"/>
    <w:rsid w:val="001418AD"/>
    <w:pPr>
      <w:numPr>
        <w:numId w:val="24"/>
      </w:numPr>
      <w:spacing w:after="160" w:line="259" w:lineRule="auto"/>
      <w:contextualSpacing/>
    </w:pPr>
    <w:rPr>
      <w:rFonts w:eastAsia="Calibri"/>
    </w:rPr>
  </w:style>
  <w:style w:type="paragraph" w:customStyle="1" w:styleId="RAN4observation">
    <w:name w:val="RAN4 observation"/>
    <w:basedOn w:val="Normal"/>
    <w:next w:val="Normal"/>
    <w:link w:val="RAN4observationChar"/>
    <w:qFormat/>
    <w:rsid w:val="001418AD"/>
    <w:pPr>
      <w:numPr>
        <w:numId w:val="2"/>
      </w:numPr>
      <w:spacing w:after="160" w:line="259" w:lineRule="auto"/>
      <w:contextualSpacing/>
    </w:pPr>
    <w:rPr>
      <w:rFonts w:eastAsia="Calibri"/>
    </w:rPr>
  </w:style>
  <w:style w:type="character" w:customStyle="1" w:styleId="RAN4observationChar">
    <w:name w:val="RAN4 observation Char"/>
    <w:basedOn w:val="DefaultParagraphFont"/>
    <w:link w:val="RAN4observation"/>
    <w:rsid w:val="001418AD"/>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6175">
      <w:bodyDiv w:val="1"/>
      <w:marLeft w:val="0"/>
      <w:marRight w:val="0"/>
      <w:marTop w:val="0"/>
      <w:marBottom w:val="0"/>
      <w:divBdr>
        <w:top w:val="none" w:sz="0" w:space="0" w:color="auto"/>
        <w:left w:val="none" w:sz="0" w:space="0" w:color="auto"/>
        <w:bottom w:val="none" w:sz="0" w:space="0" w:color="auto"/>
        <w:right w:val="none" w:sz="0" w:space="0" w:color="auto"/>
      </w:divBdr>
    </w:div>
    <w:div w:id="256331709">
      <w:bodyDiv w:val="1"/>
      <w:marLeft w:val="0"/>
      <w:marRight w:val="0"/>
      <w:marTop w:val="0"/>
      <w:marBottom w:val="0"/>
      <w:divBdr>
        <w:top w:val="none" w:sz="0" w:space="0" w:color="auto"/>
        <w:left w:val="none" w:sz="0" w:space="0" w:color="auto"/>
        <w:bottom w:val="none" w:sz="0" w:space="0" w:color="auto"/>
        <w:right w:val="none" w:sz="0" w:space="0" w:color="auto"/>
      </w:divBdr>
    </w:div>
    <w:div w:id="585574585">
      <w:bodyDiv w:val="1"/>
      <w:marLeft w:val="0"/>
      <w:marRight w:val="0"/>
      <w:marTop w:val="0"/>
      <w:marBottom w:val="0"/>
      <w:divBdr>
        <w:top w:val="none" w:sz="0" w:space="0" w:color="auto"/>
        <w:left w:val="none" w:sz="0" w:space="0" w:color="auto"/>
        <w:bottom w:val="none" w:sz="0" w:space="0" w:color="auto"/>
        <w:right w:val="none" w:sz="0" w:space="0" w:color="auto"/>
      </w:divBdr>
      <w:divsChild>
        <w:div w:id="2001351727">
          <w:marLeft w:val="360"/>
          <w:marRight w:val="0"/>
          <w:marTop w:val="200"/>
          <w:marBottom w:val="0"/>
          <w:divBdr>
            <w:top w:val="none" w:sz="0" w:space="0" w:color="auto"/>
            <w:left w:val="none" w:sz="0" w:space="0" w:color="auto"/>
            <w:bottom w:val="none" w:sz="0" w:space="0" w:color="auto"/>
            <w:right w:val="none" w:sz="0" w:space="0" w:color="auto"/>
          </w:divBdr>
        </w:div>
        <w:div w:id="39482064">
          <w:marLeft w:val="1080"/>
          <w:marRight w:val="0"/>
          <w:marTop w:val="100"/>
          <w:marBottom w:val="0"/>
          <w:divBdr>
            <w:top w:val="none" w:sz="0" w:space="0" w:color="auto"/>
            <w:left w:val="none" w:sz="0" w:space="0" w:color="auto"/>
            <w:bottom w:val="none" w:sz="0" w:space="0" w:color="auto"/>
            <w:right w:val="none" w:sz="0" w:space="0" w:color="auto"/>
          </w:divBdr>
        </w:div>
        <w:div w:id="115220619">
          <w:marLeft w:val="360"/>
          <w:marRight w:val="0"/>
          <w:marTop w:val="200"/>
          <w:marBottom w:val="0"/>
          <w:divBdr>
            <w:top w:val="none" w:sz="0" w:space="0" w:color="auto"/>
            <w:left w:val="none" w:sz="0" w:space="0" w:color="auto"/>
            <w:bottom w:val="none" w:sz="0" w:space="0" w:color="auto"/>
            <w:right w:val="none" w:sz="0" w:space="0" w:color="auto"/>
          </w:divBdr>
        </w:div>
        <w:div w:id="221452096">
          <w:marLeft w:val="360"/>
          <w:marRight w:val="0"/>
          <w:marTop w:val="200"/>
          <w:marBottom w:val="0"/>
          <w:divBdr>
            <w:top w:val="none" w:sz="0" w:space="0" w:color="auto"/>
            <w:left w:val="none" w:sz="0" w:space="0" w:color="auto"/>
            <w:bottom w:val="none" w:sz="0" w:space="0" w:color="auto"/>
            <w:right w:val="none" w:sz="0" w:space="0" w:color="auto"/>
          </w:divBdr>
        </w:div>
        <w:div w:id="383876529">
          <w:marLeft w:val="1080"/>
          <w:marRight w:val="0"/>
          <w:marTop w:val="100"/>
          <w:marBottom w:val="0"/>
          <w:divBdr>
            <w:top w:val="none" w:sz="0" w:space="0" w:color="auto"/>
            <w:left w:val="none" w:sz="0" w:space="0" w:color="auto"/>
            <w:bottom w:val="none" w:sz="0" w:space="0" w:color="auto"/>
            <w:right w:val="none" w:sz="0" w:space="0" w:color="auto"/>
          </w:divBdr>
        </w:div>
      </w:divsChild>
    </w:div>
    <w:div w:id="1057246385">
      <w:bodyDiv w:val="1"/>
      <w:marLeft w:val="0"/>
      <w:marRight w:val="0"/>
      <w:marTop w:val="0"/>
      <w:marBottom w:val="0"/>
      <w:divBdr>
        <w:top w:val="none" w:sz="0" w:space="0" w:color="auto"/>
        <w:left w:val="none" w:sz="0" w:space="0" w:color="auto"/>
        <w:bottom w:val="none" w:sz="0" w:space="0" w:color="auto"/>
        <w:right w:val="none" w:sz="0" w:space="0" w:color="auto"/>
      </w:divBdr>
    </w:div>
    <w:div w:id="1753239321">
      <w:bodyDiv w:val="1"/>
      <w:marLeft w:val="0"/>
      <w:marRight w:val="0"/>
      <w:marTop w:val="0"/>
      <w:marBottom w:val="0"/>
      <w:divBdr>
        <w:top w:val="none" w:sz="0" w:space="0" w:color="auto"/>
        <w:left w:val="none" w:sz="0" w:space="0" w:color="auto"/>
        <w:bottom w:val="none" w:sz="0" w:space="0" w:color="auto"/>
        <w:right w:val="none" w:sz="0" w:space="0" w:color="auto"/>
      </w:divBdr>
      <w:divsChild>
        <w:div w:id="665792536">
          <w:marLeft w:val="360"/>
          <w:marRight w:val="0"/>
          <w:marTop w:val="200"/>
          <w:marBottom w:val="0"/>
          <w:divBdr>
            <w:top w:val="none" w:sz="0" w:space="0" w:color="auto"/>
            <w:left w:val="none" w:sz="0" w:space="0" w:color="auto"/>
            <w:bottom w:val="none" w:sz="0" w:space="0" w:color="auto"/>
            <w:right w:val="none" w:sz="0" w:space="0" w:color="auto"/>
          </w:divBdr>
        </w:div>
        <w:div w:id="1046947741">
          <w:marLeft w:val="1080"/>
          <w:marRight w:val="0"/>
          <w:marTop w:val="100"/>
          <w:marBottom w:val="0"/>
          <w:divBdr>
            <w:top w:val="none" w:sz="0" w:space="0" w:color="auto"/>
            <w:left w:val="none" w:sz="0" w:space="0" w:color="auto"/>
            <w:bottom w:val="none" w:sz="0" w:space="0" w:color="auto"/>
            <w:right w:val="none" w:sz="0" w:space="0" w:color="auto"/>
          </w:divBdr>
        </w:div>
        <w:div w:id="476260622">
          <w:marLeft w:val="360"/>
          <w:marRight w:val="0"/>
          <w:marTop w:val="200"/>
          <w:marBottom w:val="0"/>
          <w:divBdr>
            <w:top w:val="none" w:sz="0" w:space="0" w:color="auto"/>
            <w:left w:val="none" w:sz="0" w:space="0" w:color="auto"/>
            <w:bottom w:val="none" w:sz="0" w:space="0" w:color="auto"/>
            <w:right w:val="none" w:sz="0" w:space="0" w:color="auto"/>
          </w:divBdr>
        </w:div>
        <w:div w:id="1858229445">
          <w:marLeft w:val="360"/>
          <w:marRight w:val="0"/>
          <w:marTop w:val="200"/>
          <w:marBottom w:val="0"/>
          <w:divBdr>
            <w:top w:val="none" w:sz="0" w:space="0" w:color="auto"/>
            <w:left w:val="none" w:sz="0" w:space="0" w:color="auto"/>
            <w:bottom w:val="none" w:sz="0" w:space="0" w:color="auto"/>
            <w:right w:val="none" w:sz="0" w:space="0" w:color="auto"/>
          </w:divBdr>
        </w:div>
        <w:div w:id="2052223050">
          <w:marLeft w:val="1080"/>
          <w:marRight w:val="0"/>
          <w:marTop w:val="100"/>
          <w:marBottom w:val="0"/>
          <w:divBdr>
            <w:top w:val="none" w:sz="0" w:space="0" w:color="auto"/>
            <w:left w:val="none" w:sz="0" w:space="0" w:color="auto"/>
            <w:bottom w:val="none" w:sz="0" w:space="0" w:color="auto"/>
            <w:right w:val="none" w:sz="0" w:space="0" w:color="auto"/>
          </w:divBdr>
        </w:div>
      </w:divsChild>
    </w:div>
    <w:div w:id="1967588860">
      <w:bodyDiv w:val="1"/>
      <w:marLeft w:val="0"/>
      <w:marRight w:val="0"/>
      <w:marTop w:val="0"/>
      <w:marBottom w:val="0"/>
      <w:divBdr>
        <w:top w:val="none" w:sz="0" w:space="0" w:color="auto"/>
        <w:left w:val="none" w:sz="0" w:space="0" w:color="auto"/>
        <w:bottom w:val="none" w:sz="0" w:space="0" w:color="auto"/>
        <w:right w:val="none" w:sz="0" w:space="0" w:color="auto"/>
      </w:divBdr>
    </w:div>
    <w:div w:id="2036230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BEAAD8-022B-4B95-9327-76CD4351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3</Pages>
  <Words>580</Words>
  <Characters>4704</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15</cp:revision>
  <cp:lastPrinted>2019-04-25T01:09:00Z</cp:lastPrinted>
  <dcterms:created xsi:type="dcterms:W3CDTF">2021-01-06T09:38:00Z</dcterms:created>
  <dcterms:modified xsi:type="dcterms:W3CDTF">2021-01-15T19:22:00Z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